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olor w:val="auto"/>
          <w:sz w:val="32"/>
          <w:szCs w:val="32"/>
        </w:rPr>
      </w:pPr>
      <w:r>
        <w:rPr>
          <w:rFonts w:ascii="Times New Roman" w:hAnsi="Times New Roman" w:eastAsia="黑体"/>
          <w:color w:val="auto"/>
          <w:sz w:val="32"/>
          <w:szCs w:val="32"/>
        </w:rPr>
        <w:t>附件2</w:t>
      </w:r>
    </w:p>
    <w:p>
      <w:pPr>
        <w:spacing w:before="120" w:beforeLines="50" w:after="120" w:afterLines="50" w:line="600" w:lineRule="exact"/>
        <w:ind w:firstLine="720" w:firstLineChars="200"/>
        <w:jc w:val="center"/>
        <w:rPr>
          <w:rFonts w:ascii="Times New Roman" w:hAnsi="Times New Roman" w:eastAsia="仿宋_GB2312"/>
          <w:b/>
          <w:bCs/>
          <w:color w:val="auto"/>
          <w:sz w:val="32"/>
        </w:rPr>
      </w:pPr>
      <w:r>
        <w:rPr>
          <w:rFonts w:ascii="Times New Roman" w:hAnsi="Times New Roman" w:eastAsia="方正小标宋_GBK"/>
          <w:color w:val="auto"/>
          <w:sz w:val="36"/>
          <w:szCs w:val="36"/>
        </w:rPr>
        <w:t>《湖南省财政厅行政处罚裁量权基准》（202</w:t>
      </w:r>
      <w:r>
        <w:rPr>
          <w:rFonts w:ascii="Times New Roman" w:hAnsi="Times New Roman" w:eastAsia="方正小标宋_GBK"/>
          <w:color w:val="auto"/>
          <w:sz w:val="36"/>
          <w:szCs w:val="36"/>
          <w:lang w:val="en"/>
        </w:rPr>
        <w:t>2</w:t>
      </w:r>
      <w:r>
        <w:rPr>
          <w:rFonts w:ascii="Times New Roman" w:hAnsi="Times New Roman" w:eastAsia="方正小标宋_GBK"/>
          <w:color w:val="auto"/>
          <w:sz w:val="36"/>
          <w:szCs w:val="36"/>
        </w:rPr>
        <w:t>年版）</w:t>
      </w:r>
    </w:p>
    <w:p>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4"/>
        <w:tblW w:w="5392" w:type="pct"/>
        <w:jc w:val="center"/>
        <w:tblLayout w:type="fixed"/>
        <w:tblCellMar>
          <w:top w:w="0" w:type="dxa"/>
          <w:left w:w="108" w:type="dxa"/>
          <w:bottom w:w="0" w:type="dxa"/>
          <w:right w:w="108" w:type="dxa"/>
        </w:tblCellMar>
      </w:tblPr>
      <w:tblGrid>
        <w:gridCol w:w="709"/>
        <w:gridCol w:w="1070"/>
        <w:gridCol w:w="4075"/>
        <w:gridCol w:w="690"/>
        <w:gridCol w:w="5375"/>
        <w:gridCol w:w="3413"/>
      </w:tblGrid>
      <w:tr>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（一）隐瞒应当上缴的财政收入；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（二）截留代收的财政收入；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（三）其他不缴或者少缴财政收入的行为。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w:t>
            </w:r>
            <w:r>
              <w:rPr>
                <w:rFonts w:ascii="Times New Roman" w:hAnsi="Times New Roman" w:eastAsia="仿宋_GB2312"/>
                <w:b/>
                <w:color w:val="auto"/>
                <w:sz w:val="18"/>
                <w:szCs w:val="18"/>
                <w:lang w:bidi="ar"/>
              </w:rPr>
              <w:t>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（二）挪用财政资金以及政府承贷或者担保的外国政府贷款、国际金融组织贷款；</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7"/>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w:t>
            </w:r>
            <w:r>
              <w:rPr>
                <w:rFonts w:ascii="Times New Roman" w:hAnsi="Times New Roman" w:eastAsia="仿宋_GB2312"/>
                <w:color w:val="auto"/>
                <w:sz w:val="18"/>
                <w:szCs w:val="18"/>
                <w:lang w:bidi="ar"/>
              </w:rPr>
              <w:t>骗取财政资金以及政府承贷或者担保的外国政府贷款、国际金融组织贷款</w:t>
            </w:r>
            <w:r>
              <w:rPr>
                <w:rFonts w:ascii="Times New Roman" w:hAnsi="Times New Roman" w:eastAsia="仿宋_GB2312"/>
                <w:color w:val="auto"/>
                <w:sz w:val="18"/>
                <w:szCs w:val="18"/>
                <w:lang w:bidi="ar"/>
              </w:rPr>
              <w:t>金额挪用的有关资金数额占该项资金全部数额的10%以下的，或为个人牟取私利3</w:t>
            </w:r>
            <w:r>
              <w:rPr>
                <w:rFonts w:ascii="Times New Roman" w:hAnsi="Times New Roman" w:eastAsia="仿宋_GB2312"/>
                <w:color w:val="auto"/>
                <w:sz w:val="18"/>
                <w:szCs w:val="18"/>
                <w:lang w:bidi="ar"/>
              </w:rPr>
              <w:t>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w:t>
            </w:r>
            <w:r>
              <w:rPr>
                <w:rFonts w:ascii="Times New Roman" w:hAnsi="Times New Roman" w:eastAsia="仿宋_GB2312"/>
                <w:color w:val="auto"/>
                <w:sz w:val="18"/>
                <w:szCs w:val="18"/>
                <w:lang w:bidi="ar"/>
              </w:rPr>
              <w:t>财政资金或贷</w:t>
            </w:r>
            <w:r>
              <w:rPr>
                <w:rFonts w:ascii="Times New Roman" w:hAnsi="Times New Roman" w:eastAsia="仿宋_GB2312"/>
                <w:color w:val="auto"/>
                <w:sz w:val="18"/>
                <w:szCs w:val="18"/>
                <w:lang w:bidi="ar"/>
              </w:rPr>
              <w:t>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w:t>
            </w:r>
            <w:r>
              <w:rPr>
                <w:rFonts w:ascii="Times New Roman" w:hAnsi="Times New Roman" w:eastAsia="仿宋_GB2312"/>
                <w:color w:val="auto"/>
                <w:sz w:val="18"/>
                <w:szCs w:val="18"/>
                <w:lang w:bidi="ar"/>
              </w:rPr>
              <w:t>财政资金或贷</w:t>
            </w:r>
            <w:r>
              <w:rPr>
                <w:rFonts w:ascii="Times New Roman" w:hAnsi="Times New Roman" w:eastAsia="仿宋_GB2312"/>
                <w:color w:val="auto"/>
                <w:sz w:val="18"/>
                <w:szCs w:val="18"/>
                <w:lang w:bidi="ar"/>
              </w:rPr>
              <w:t>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w:t>
            </w:r>
            <w:r>
              <w:rPr>
                <w:rFonts w:ascii="Times New Roman" w:hAnsi="Times New Roman" w:eastAsia="仿宋_GB2312"/>
                <w:color w:val="auto"/>
                <w:sz w:val="18"/>
                <w:szCs w:val="18"/>
                <w:lang w:bidi="ar"/>
              </w:rPr>
              <w:t>国际金融组织贷款</w:t>
            </w:r>
            <w:r>
              <w:rPr>
                <w:rFonts w:ascii="Times New Roman" w:hAnsi="Times New Roman" w:eastAsia="仿宋_GB2312"/>
                <w:color w:val="auto"/>
                <w:sz w:val="18"/>
                <w:szCs w:val="18"/>
                <w:lang w:bidi="ar"/>
              </w:rPr>
              <w:t>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（四）其他违反规定使用、骗取财政资金以及政府承贷或者担保的外国政府贷款、国际金融组织贷款的行为。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w:t>
            </w:r>
            <w:r>
              <w:rPr>
                <w:rFonts w:ascii="Times New Roman" w:hAnsi="Times New Roman" w:eastAsia="仿宋_GB2312"/>
                <w:color w:val="auto"/>
                <w:sz w:val="18"/>
                <w:szCs w:val="18"/>
                <w:lang w:bidi="ar"/>
              </w:rPr>
              <w:t>违法获取或者使用的资金数额</w:t>
            </w:r>
            <w:r>
              <w:rPr>
                <w:rFonts w:ascii="Times New Roman" w:hAnsi="Times New Roman" w:eastAsia="仿宋_GB2312"/>
                <w:color w:val="auto"/>
                <w:sz w:val="18"/>
                <w:szCs w:val="18"/>
                <w:lang w:bidi="ar"/>
              </w:rPr>
              <w:t>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w:t>
            </w:r>
            <w:r>
              <w:rPr>
                <w:rFonts w:ascii="Times New Roman" w:hAnsi="Times New Roman" w:eastAsia="仿宋_GB2312"/>
                <w:color w:val="auto"/>
                <w:sz w:val="18"/>
                <w:szCs w:val="18"/>
                <w:lang w:bidi="ar"/>
              </w:rPr>
              <w:t>挪用的有关资金数额</w:t>
            </w:r>
            <w:r>
              <w:rPr>
                <w:rFonts w:ascii="Times New Roman" w:hAnsi="Times New Roman" w:eastAsia="仿宋_GB2312"/>
                <w:color w:val="auto"/>
                <w:sz w:val="18"/>
                <w:szCs w:val="18"/>
                <w:lang w:bidi="ar"/>
              </w:rPr>
              <w:t xml:space="preserve">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（一）违反规定印制财政收入票据；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（二）转借、串用、代开财政收入票据；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（四）伪造、使用伪造的财政收入票据监（印）制章；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（五）其他违反财政收入票据管理规定的行为。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7"/>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tblPrEx>
          <w:tblCellMar>
            <w:top w:w="0" w:type="dxa"/>
            <w:left w:w="108" w:type="dxa"/>
            <w:bottom w:w="0" w:type="dxa"/>
            <w:right w:w="108" w:type="dxa"/>
          </w:tblCellMar>
        </w:tblPrEx>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7"/>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（一）违反规定印制财政票据；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（二）转让、出借、串用、代开财政票据；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（三）伪造、变造、买卖、擅自销毁财政票据；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（四）提供虚假信息骗取和冒领财政票据；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（五）伪造、使用伪造的财政票据监制章；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（六）未按规定使用财政票据监制章；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（八）其他违反财政票据管理规定的行为；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4"/>
        <w:tblW w:w="5377" w:type="pct"/>
        <w:jc w:val="center"/>
        <w:tblLayout w:type="fixed"/>
        <w:tblCellMar>
          <w:top w:w="0" w:type="dxa"/>
          <w:left w:w="108" w:type="dxa"/>
          <w:bottom w:w="0" w:type="dxa"/>
          <w:right w:w="108" w:type="dxa"/>
        </w:tblCellMar>
      </w:tblPr>
      <w:tblGrid>
        <w:gridCol w:w="700"/>
        <w:gridCol w:w="1501"/>
        <w:gridCol w:w="4216"/>
        <w:gridCol w:w="652"/>
        <w:gridCol w:w="4844"/>
        <w:gridCol w:w="3376"/>
      </w:tblGrid>
      <w:tr>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（一）应当采用公开招标方式而擅自采用其他方式采购的；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第一款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（一）未依照政府采购法和本条例规定的方式实施采购；</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第五十二条</w:t>
            </w:r>
            <w:r>
              <w:rPr>
                <w:rStyle w:val="9"/>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（二）擅自提高采购标准的；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（三）以不合理的条件对供应商实行差别待遇或者歧视待遇的；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第一款</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3、《政府采购信息公告管理办法》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第三十一条 </w:t>
            </w:r>
            <w:r>
              <w:rPr>
                <w:rStyle w:val="9"/>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（四）在招标采购过程中与投标人进行协商谈判的；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（五）中标、成交通知书发出后不与中标、成交供应商签订采购合同的；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（六）拒绝有关部门依法实施监督检查的。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（四）开标前泄露标底的。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（二）未依法在指定的媒体上发布政府采购项目信息；</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第七十一条 </w:t>
            </w:r>
            <w:r>
              <w:rPr>
                <w:rStyle w:val="9"/>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（一）未按照本办法规定在指定媒体上发布政府采购信息的；</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4、《政府采购信息发布管理办法》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第十六条</w:t>
            </w:r>
            <w:r>
              <w:rPr>
                <w:rStyle w:val="9"/>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（三）未按照规定执行政府采购政策；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（四）违反本条例第十五条的规定导致无法组织对供应商履约情况进行验收或者国家财产遭受损失；</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（六）非法干预采购评审活动；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（七）采用综合评分法时评审标准中的分值设置未与评审因素的量化指标相对应；</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（八）对供应商的询问、质疑逾期未作处理；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（九）通过对样品进行检测、对供应商进行考察等方式改变评审结果；</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2、</w:t>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（十）未按照规定组织对供应商履约情况进行验收。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第七十条</w:t>
            </w:r>
            <w:r>
              <w:rPr>
                <w:rStyle w:val="9"/>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（二）未按照本办法规定组成谈判小组、询价小组的；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t>》</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（三）在询价采购过程中与供应商进行协商谈判的；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（四）未按照政府采购法和本办法规定的程序和要求确定成交候选人的；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第八十二条</w:t>
            </w:r>
            <w:r>
              <w:rPr>
                <w:rStyle w:val="9"/>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tblPrEx>
          <w:tblCellMar>
            <w:top w:w="0" w:type="dxa"/>
            <w:left w:w="108" w:type="dxa"/>
            <w:bottom w:w="0" w:type="dxa"/>
            <w:right w:w="108" w:type="dxa"/>
          </w:tblCellMar>
        </w:tblPrEx>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（五）在评审过程中有明显不合理或者不正当倾向性的；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（六）未按照采购文件规定的评定成交的标准进行评审的。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（三）明知与供应商有利害关系而不依法回避的；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（一）收受采购人、采购代理机构、供应商、其他利害关系人的财物或者其他不正当利益的；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（一）确定参与评标至评标结束前私自接触投标人；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（二）接受投标人提出的与投标文件不一致的澄清或者说明，本办法第五十一条规定的情形除外；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（三）违反评标纪律发表倾向性意见或者征询采购人的倾向性意见；</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（四）对需要专业判断的主观评审因素协商评分；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（五）在评标过程中擅离职守，影响评标程序正常进行的；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（六）记录、复制或者带走任何评标资料；</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（七）其他不遵守评标纪律的行为。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（四）在评审过程中擅离职守，影响评审程序正常进行的；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tblPrEx>
          <w:tblCellMar>
            <w:top w:w="0" w:type="dxa"/>
            <w:left w:w="108" w:type="dxa"/>
            <w:bottom w:w="0" w:type="dxa"/>
            <w:right w:w="108" w:type="dxa"/>
          </w:tblCellMar>
        </w:tblPrEx>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（二）供应商按照采购人或者采购代理机构的授意撤换、修改投标文件或者响应文件；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 </w:t>
            </w:r>
            <w:r>
              <w:rPr>
                <w:rStyle w:val="9"/>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（六）供应商之间商定部分供应商放弃参加政府采购活动或者放弃中标、成交；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eastAsia" w:ascii="Times New Roman" w:hAnsi="Times New Roman" w:eastAsia="仿宋_GB2312" w:cs="Times New Roman"/>
                <w:color w:val="auto"/>
                <w:lang w:val="en-US" w:eastAsia="zh-CN" w:bidi="ar"/>
              </w:rPr>
              <w:t xml:space="preserve"> </w:t>
            </w:r>
            <w:r>
              <w:rPr>
                <w:rStyle w:val="9"/>
                <w:rFonts w:hint="default" w:ascii="Times New Roman" w:hAnsi="Times New Roman" w:cs="Times New Roman"/>
                <w:b/>
                <w:bCs/>
                <w:color w:val="auto"/>
                <w:lang w:bidi="ar"/>
              </w:rPr>
              <w:t>第七十七条</w:t>
            </w:r>
            <w:r>
              <w:rPr>
                <w:rStyle w:val="9"/>
                <w:rFonts w:hint="eastAsia" w:ascii="Times New Roman" w:hAnsi="Times New Roman" w:eastAsia="仿宋_GB2312" w:cs="Times New Roman"/>
                <w:b/>
                <w:bCs/>
                <w:color w:val="auto"/>
                <w:lang w:val="en-US" w:eastAsia="zh-CN" w:bidi="ar"/>
              </w:rPr>
              <w:t xml:space="preserve"> </w:t>
            </w:r>
            <w:r>
              <w:rPr>
                <w:rStyle w:val="9"/>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（六）拒绝有关部门监督检查或者提供虚假情况的。</w:t>
            </w:r>
            <w:r>
              <w:rPr>
                <w:rStyle w:val="9"/>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（一）向评标委员会、竞争性谈判小组或者询价小组成员行贿或者提供其他不正当利益；</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（二）中标或者成交后无正当理由拒不与采购人签订政府采购合同；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（三）未按照采购文件确定的事项签订政府采购合同；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9"/>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（四）将政府采购合同转包；</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（五）提供假冒伪劣产品；</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（六）擅自变更、中止或者终止政府采购合同。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tblPrEx>
          <w:tblCellMar>
            <w:top w:w="0" w:type="dxa"/>
            <w:left w:w="108" w:type="dxa"/>
            <w:bottom w:w="0" w:type="dxa"/>
            <w:right w:w="108" w:type="dxa"/>
          </w:tblCellMar>
        </w:tblPrEx>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（一）捏造事实;</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（四）属于同一集团、协会、商会等组织成员的供应商按照该组织要求协同参加政府采购活动；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（五）供应商之间事先约定由某一特定供应商中标、成交；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4"/>
        <w:tblW w:w="5354" w:type="pct"/>
        <w:jc w:val="center"/>
        <w:tblLayout w:type="autofit"/>
        <w:tblCellMar>
          <w:top w:w="0" w:type="dxa"/>
          <w:left w:w="108" w:type="dxa"/>
          <w:bottom w:w="0" w:type="dxa"/>
          <w:right w:w="108" w:type="dxa"/>
        </w:tblCellMar>
      </w:tblPr>
      <w:tblGrid>
        <w:gridCol w:w="627"/>
        <w:gridCol w:w="1136"/>
        <w:gridCol w:w="3864"/>
        <w:gridCol w:w="679"/>
        <w:gridCol w:w="5645"/>
        <w:gridCol w:w="3273"/>
      </w:tblGrid>
      <w:tr>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w:t>
            </w:r>
            <w:r>
              <w:rPr>
                <w:rFonts w:ascii="Times New Roman" w:hAnsi="Times New Roman" w:eastAsia="仿宋_GB2312"/>
                <w:color w:val="auto"/>
                <w:sz w:val="18"/>
                <w:szCs w:val="18"/>
                <w:lang w:bidi="ar"/>
              </w:rPr>
              <w:t>11</w:t>
            </w:r>
            <w:r>
              <w:rPr>
                <w:rFonts w:ascii="Times New Roman" w:hAnsi="Times New Roman" w:eastAsia="仿宋_GB2312"/>
                <w:color w:val="auto"/>
                <w:sz w:val="18"/>
                <w:szCs w:val="18"/>
                <w:lang w:bidi="ar"/>
              </w:rPr>
              <w:t>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t>暂停其执业一个月以上六个月以下，</w:t>
            </w:r>
            <w:r>
              <w:rPr>
                <w:rFonts w:ascii="Times New Roman" w:hAnsi="Times New Roman" w:eastAsia="仿宋_GB2312"/>
                <w:color w:val="auto"/>
                <w:sz w:val="18"/>
                <w:szCs w:val="18"/>
                <w:lang w:bidi="ar"/>
              </w:rPr>
              <w:t>并处违法所得一倍以上三倍以下的罚款；对注册会计师处以暂停一个月以上六个月以下执行业务。</w:t>
            </w:r>
          </w:p>
        </w:tc>
      </w:tr>
      <w:tr>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w:t>
            </w:r>
            <w:r>
              <w:rPr>
                <w:rFonts w:ascii="Times New Roman" w:hAnsi="Times New Roman" w:eastAsia="仿宋_GB2312"/>
                <w:color w:val="auto"/>
                <w:sz w:val="18"/>
                <w:szCs w:val="18"/>
                <w:lang w:bidi="ar"/>
              </w:rPr>
              <w:t>11</w:t>
            </w:r>
            <w:r>
              <w:rPr>
                <w:rFonts w:ascii="Times New Roman" w:hAnsi="Times New Roman" w:eastAsia="仿宋_GB2312"/>
                <w:color w:val="auto"/>
                <w:sz w:val="18"/>
                <w:szCs w:val="18"/>
                <w:lang w:bidi="ar"/>
              </w:rPr>
              <w:t>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w:t>
            </w:r>
            <w:r>
              <w:rPr>
                <w:rFonts w:ascii="Times New Roman" w:hAnsi="Times New Roman" w:eastAsia="仿宋_GB2312"/>
                <w:color w:val="auto"/>
                <w:sz w:val="18"/>
                <w:szCs w:val="18"/>
                <w:lang w:bidi="ar"/>
              </w:rPr>
              <w:t>暂停其执业六个月以上一年以下</w:t>
            </w:r>
            <w:r>
              <w:rPr>
                <w:rFonts w:ascii="Times New Roman" w:hAnsi="Times New Roman" w:eastAsia="仿宋_GB2312"/>
                <w:color w:val="auto"/>
                <w:sz w:val="18"/>
                <w:szCs w:val="18"/>
                <w:lang w:bidi="ar"/>
              </w:rPr>
              <w:t>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pPr>
              <w:widowControl/>
              <w:ind w:firstLine="180"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0"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0"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0"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4"/>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ind w:left="-759" w:leftChars="-271" w:firstLine="762"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cantSplit/>
          <w:trHeight w:val="102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91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080"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tblPrEx>
          <w:tblCellMar>
            <w:top w:w="0" w:type="dxa"/>
            <w:left w:w="108" w:type="dxa"/>
            <w:bottom w:w="0" w:type="dxa"/>
            <w:right w:w="108" w:type="dxa"/>
          </w:tblCellMar>
        </w:tblPrEx>
        <w:trPr>
          <w:cantSplit/>
          <w:trHeight w:val="27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59"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tblPrEx>
          <w:tblCellMar>
            <w:top w:w="0" w:type="dxa"/>
            <w:left w:w="108" w:type="dxa"/>
            <w:bottom w:w="0" w:type="dxa"/>
            <w:right w:w="108" w:type="dxa"/>
          </w:tblCellMar>
        </w:tblPrEx>
        <w:trPr>
          <w:cantSplit/>
          <w:trHeight w:val="192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tblPrEx>
          <w:tblCellMar>
            <w:top w:w="0" w:type="dxa"/>
            <w:left w:w="108" w:type="dxa"/>
            <w:bottom w:w="0" w:type="dxa"/>
            <w:right w:w="108" w:type="dxa"/>
          </w:tblCellMar>
        </w:tblPrEx>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Cs/>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bookmarkStart w:id="0" w:name="_GoBack"/>
            <w:bookmarkEnd w:id="0"/>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10"/>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46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4"/>
        <w:tblW w:w="5354" w:type="pct"/>
        <w:jc w:val="center"/>
        <w:tblLayout w:type="autofit"/>
        <w:tblCellMar>
          <w:top w:w="0" w:type="dxa"/>
          <w:left w:w="108" w:type="dxa"/>
          <w:bottom w:w="0" w:type="dxa"/>
          <w:right w:w="108" w:type="dxa"/>
        </w:tblCellMar>
      </w:tblPr>
      <w:tblGrid>
        <w:gridCol w:w="649"/>
        <w:gridCol w:w="1170"/>
        <w:gridCol w:w="4046"/>
        <w:gridCol w:w="643"/>
        <w:gridCol w:w="4987"/>
        <w:gridCol w:w="3729"/>
      </w:tblGrid>
      <w:tr>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vAlign w:val="center"/>
          </w:tcPr>
          <w:p>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tblPrEx>
          <w:tblCellMar>
            <w:top w:w="0" w:type="dxa"/>
            <w:left w:w="108" w:type="dxa"/>
            <w:bottom w:w="0" w:type="dxa"/>
            <w:right w:w="108" w:type="dxa"/>
          </w:tblCellMar>
        </w:tblPrEx>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pPr>
        <w:rPr>
          <w:rFonts w:ascii="Times New Roman" w:hAnsi="Times New Roman"/>
          <w:color w:val="auto"/>
        </w:rPr>
      </w:pPr>
    </w:p>
    <w:p>
      <w:pPr>
        <w:rPr>
          <w:rFonts w:ascii="Times New Roman" w:hAnsi="Times New Roman"/>
          <w:color w:val="auto"/>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4410075</wp:posOffset>
              </wp:positionH>
              <wp:positionV relativeFrom="paragraph">
                <wp:posOffset>0</wp:posOffset>
              </wp:positionV>
              <wp:extent cx="175260" cy="1828800"/>
              <wp:effectExtent l="0" t="0" r="15240" b="0"/>
              <wp:wrapNone/>
              <wp:docPr id="4" name="文本框 4"/>
              <wp:cNvGraphicFramePr/>
              <a:graphic xmlns:a="http://schemas.openxmlformats.org/drawingml/2006/main">
                <a:graphicData uri="http://schemas.microsoft.com/office/word/2010/wordprocessingShape">
                  <wps:wsp>
                    <wps:cNvSpPr txBox="true"/>
                    <wps:spPr>
                      <a:xfrm>
                        <a:off x="0" y="0"/>
                        <a:ext cx="175565"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47.25pt;margin-top:0pt;height:144pt;width:13.8pt;mso-position-horizontal-relative:margin;z-index:251658240;mso-width-relative:page;mso-height-relative:page;" filled="f" stroked="f" coordsize="21600,21600" o:gfxdata="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k9KfLtcAAAAIAQAADwAAAAAAAAABACAAAAA4AAAAZHJzL2Rv&#10;d25yZXYueG1sUEsBAhQAFAAAAAgAh07iQCVC8lUlAgAAKAQAAA4AAAAAAAAAAQAgAAAAPAEAAGRy&#10;cy9lMm9Eb2MueG1sUEsFBgAAAAAGAAYAWQEAAN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168A"/>
    <w:rsid w:val="0067213B"/>
    <w:rsid w:val="006C37DE"/>
    <w:rsid w:val="00966324"/>
    <w:rsid w:val="00C070BC"/>
    <w:rsid w:val="2F746DDB"/>
    <w:rsid w:val="3A7C9413"/>
    <w:rsid w:val="3BFF836F"/>
    <w:rsid w:val="3D7AE6A7"/>
    <w:rsid w:val="3EDFB056"/>
    <w:rsid w:val="47ED70A3"/>
    <w:rsid w:val="4F7BCAF7"/>
    <w:rsid w:val="56D6C899"/>
    <w:rsid w:val="5FFF2AE7"/>
    <w:rsid w:val="6DFF138F"/>
    <w:rsid w:val="6FFF85BC"/>
    <w:rsid w:val="73FD016A"/>
    <w:rsid w:val="774F9F3F"/>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31"/>
    <w:qFormat/>
    <w:uiPriority w:val="0"/>
    <w:rPr>
      <w:rFonts w:hint="eastAsia" w:ascii="仿宋_GB2312" w:eastAsia="仿宋_GB2312" w:cs="仿宋_GB2312"/>
      <w:color w:val="000000"/>
      <w:sz w:val="18"/>
      <w:szCs w:val="18"/>
      <w:u w:val="none"/>
    </w:rPr>
  </w:style>
  <w:style w:type="character" w:customStyle="1" w:styleId="8">
    <w:name w:val="font61"/>
    <w:qFormat/>
    <w:uiPriority w:val="0"/>
    <w:rPr>
      <w:rFonts w:hint="eastAsia" w:ascii="仿宋_GB2312" w:eastAsia="仿宋_GB2312" w:cs="仿宋_GB2312"/>
      <w:b/>
      <w:color w:val="000000"/>
      <w:sz w:val="18"/>
      <w:szCs w:val="18"/>
      <w:u w:val="none"/>
    </w:rPr>
  </w:style>
  <w:style w:type="character" w:customStyle="1" w:styleId="9">
    <w:name w:val="font51"/>
    <w:qFormat/>
    <w:uiPriority w:val="0"/>
    <w:rPr>
      <w:rFonts w:hint="eastAsia" w:ascii="仿宋_GB2312" w:eastAsia="仿宋_GB2312" w:cs="仿宋_GB2312"/>
      <w:color w:val="000000"/>
      <w:sz w:val="18"/>
      <w:szCs w:val="18"/>
      <w:u w:val="none"/>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25817</Words>
  <Characters>147158</Characters>
  <Lines>1226</Lines>
  <Paragraphs>345</Paragraphs>
  <TotalTime>8</TotalTime>
  <ScaleCrop>false</ScaleCrop>
  <LinksUpToDate>false</LinksUpToDate>
  <CharactersWithSpaces>172630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2023-01-08T01:07:00Z</dcterms:created>
  <dc:creator>greatwall</dc:creator>
  <cp:lastModifiedBy>greatwall</cp:lastModifiedBy>
  <cp:lastPrinted>2023-01-15T02:49:00Z</cp:lastPrinted>
  <dcterms:modified xsi:type="dcterms:W3CDTF">2023-03-29T19:18:11Z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