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  <w:t>常财审〔2020〕结字</w:t>
      </w:r>
      <w:r>
        <w:rPr>
          <w:rStyle w:val="7"/>
          <w:rFonts w:hint="eastAsia" w:ascii="仿宋_GB2312" w:hAnsi="仿宋_GB2312" w:eastAsia="仿宋_GB2312"/>
          <w:kern w:val="2"/>
          <w:sz w:val="32"/>
          <w:lang w:val="en-US" w:eastAsia="zh-CN" w:bidi="ar-SA"/>
        </w:rPr>
        <w:t>539</w:t>
      </w:r>
      <w:r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_GB2312" w:eastAsia="仿宋_GB2312"/>
          <w:kern w:val="2"/>
          <w:sz w:val="32"/>
          <w:lang w:val="en-US" w:eastAsia="zh-CN" w:bidi="ar-SA"/>
        </w:rPr>
        <w:t xml:space="preserve"> </w:t>
      </w:r>
    </w:p>
    <w:p>
      <w:pPr>
        <w:jc w:val="center"/>
        <w:textAlignment w:val="baseline"/>
        <w:rPr>
          <w:rStyle w:val="7"/>
          <w:rFonts w:ascii="宋体" w:hAnsi="宋体"/>
          <w:spacing w:val="20"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宋体" w:hAnsi="宋体"/>
          <w:spacing w:val="20"/>
          <w:w w:val="80"/>
          <w:kern w:val="2"/>
          <w:sz w:val="44"/>
          <w:szCs w:val="44"/>
          <w:lang w:val="en-US" w:eastAsia="zh-CN" w:bidi="ar-SA"/>
        </w:rPr>
        <w:t>关于</w:t>
      </w:r>
      <w:r>
        <w:rPr>
          <w:rStyle w:val="7"/>
          <w:rFonts w:ascii="宋体" w:hAnsi="宋体"/>
          <w:spacing w:val="20"/>
          <w:kern w:val="2"/>
          <w:sz w:val="44"/>
          <w:szCs w:val="44"/>
          <w:lang w:val="en-US" w:eastAsia="zh-CN" w:bidi="ar-SA"/>
        </w:rPr>
        <w:t>常德市三中心内部装修工程          结算评审的报告</w:t>
      </w:r>
    </w:p>
    <w:p>
      <w:pPr>
        <w:spacing w:line="600" w:lineRule="exact"/>
        <w:ind w:right="-65" w:rightChars="-31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</w:pPr>
    </w:p>
    <w:p>
      <w:pPr>
        <w:spacing w:line="600" w:lineRule="exact"/>
        <w:ind w:right="-65" w:rightChars="-31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常德市融资核算中心：</w:t>
      </w:r>
    </w:p>
    <w:p>
      <w:pPr>
        <w:spacing w:line="600" w:lineRule="exact"/>
        <w:ind w:right="-65" w:rightChars="-31" w:firstLine="480" w:firstLineChars="15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根据《财政投资评审管理规定》、《常德市财政投资评审管理办法》，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我中心对你单位委托的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常德市三中心内部装修工程结算进行了评审。</w:t>
      </w:r>
    </w:p>
    <w:p>
      <w:pPr>
        <w:spacing w:line="600" w:lineRule="exact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 xml:space="preserve">   </w:t>
      </w:r>
      <w:r>
        <w:rPr>
          <w:rStyle w:val="7"/>
          <w:rFonts w:hint="eastAsia" w:ascii="黑体" w:hAnsi="黑体" w:eastAsia="黑体" w:cs="黑体"/>
          <w:b w:val="0"/>
          <w:bCs w:val="0"/>
          <w:kern w:val="2"/>
          <w:sz w:val="32"/>
          <w:lang w:val="en-US" w:eastAsia="zh-CN" w:bidi="ar-SA"/>
        </w:rPr>
        <w:t xml:space="preserve"> 一、项目概况</w:t>
      </w:r>
    </w:p>
    <w:p>
      <w:pPr>
        <w:spacing w:line="540" w:lineRule="exact"/>
        <w:ind w:left="6" w:leftChars="3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常德市“三中心”即青少年活动中心、妇女儿童发展中心以及科技展示中心，是常德市政府倾力打造的妇女、儿童、青少年公益活动场所，位于白马湖文化公园内，北临柳叶大道，西抵龙港路，包括地下一层，地上四层，总建筑面积25743</w:t>
      </w: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㎡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, 其中科技展示中心4432</w:t>
      </w: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㎡，青少年活动中心和妇女儿童活动中心21312㎡。青少年活动中心内设青少年禁毒宣传教育馆、攀岩馆、青少年艺术团、青少年书画中心等；科技展示中心共三个主展厅，一个临展厅；妇女儿童发展中心内设青少年职业体验馆、家庭教育指导中心等。本次装修的主要内容为室内功能分区轻钢龙骨隔断，安装成品门，墙面乳胶漆、手绘艺术画面等；地面铺设环氧树脂漆和防滑地胶、不锈钢踢脚线等；安装雕花板、铝塑板，天棚艺术吊顶；室内家俱、电气照明、空调、消防等配套工程。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该项目依据常发改社〔2012〕272号《关于常德市“三中心”内部装修及设备配套工程可行性研究报告的批复》立项</w:t>
      </w:r>
      <w:r>
        <w:rPr>
          <w:rStyle w:val="7"/>
          <w:rFonts w:hint="eastAsia" w:ascii="仿宋_GB2312" w:hAnsi="仿宋" w:eastAsia="仿宋_GB2312"/>
          <w:kern w:val="2"/>
          <w:sz w:val="32"/>
          <w:szCs w:val="32"/>
          <w:lang w:val="en-US" w:eastAsia="zh-CN" w:bidi="ar-SA"/>
        </w:rPr>
        <w:t>，由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上海风语筑展览有限公司</w:t>
      </w:r>
      <w:r>
        <w:rPr>
          <w:rStyle w:val="7"/>
          <w:rFonts w:hint="eastAsia" w:ascii="仿宋_GB2312" w:hAnsi="仿宋" w:eastAsia="仿宋_GB2312"/>
          <w:kern w:val="2"/>
          <w:sz w:val="32"/>
          <w:szCs w:val="32"/>
          <w:lang w:val="en-US" w:eastAsia="zh-CN" w:bidi="ar-SA"/>
        </w:rPr>
        <w:t>和长沙广大建筑装饰有限公司联合体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设计</w:t>
      </w:r>
      <w:r>
        <w:rPr>
          <w:rStyle w:val="7"/>
          <w:rFonts w:hint="eastAsia" w:ascii="仿宋_GB2312" w:hAnsi="仿宋" w:eastAsia="仿宋_GB2312"/>
          <w:kern w:val="2"/>
          <w:sz w:val="32"/>
          <w:lang w:val="en-US" w:eastAsia="zh-CN" w:bidi="ar-SA"/>
        </w:rPr>
        <w:t>、施工总承包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。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资金来源为财政资金。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  <w:t>二、评审依据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1.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常德市财政投资工程项目2018年240号结算评审送审单；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kern w:val="2"/>
          <w:sz w:val="32"/>
          <w:lang w:val="en-US" w:eastAsia="zh-CN" w:bidi="ar-SA"/>
        </w:rPr>
        <w:t>2.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财政部《财政投资项目评审操作规程（试行）》（财办建〔2002〕619号）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；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4.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建设单位报送的竣工图、施工合同、结算书、工程签证单、竣工资料等；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5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.湖南省住房和城乡建设厅《关于印发&lt;湖南省建设工程计价办法&gt;及&lt;湖南省建设工程消耗量标准&gt;的通知》（湘建价〔2009〕406号）；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eastAsia="仿宋_GB2312"/>
          <w:kern w:val="2"/>
          <w:sz w:val="32"/>
          <w:lang w:val="en-US" w:eastAsia="zh-CN" w:bidi="ar-SA"/>
        </w:rPr>
        <w:t>6.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湖南省建设工程造价管理总站《关于印发2006版&lt;湖南省建设工程计价办法&gt;及湖南省建设工程造价管理总站颁布的《2006年湖南省建筑工程消耗量标准》、《2006年湖南省建筑装饰装修工程消耗量标准》；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7.湖南省住房和城乡建设厅《关于发布湖南省各市州建设工程人工工资单价的通知》（湘建价﹝2012﹞237号）；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8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.湖南省住房和城乡建设厅《关于发布2014年湖南省建设工程人工工资单价的通知》（湘建价﹝2014﹞112号）；</w:t>
      </w:r>
    </w:p>
    <w:p>
      <w:pPr>
        <w:spacing w:line="64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9.常德市建设工程造价管理站发布的常德市二0一四年第一期至二0一五年第五期建设工程材料价格及市场询价；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eastAsia="仿宋_GB2312"/>
          <w:kern w:val="2"/>
          <w:sz w:val="32"/>
          <w:lang w:val="en-US" w:eastAsia="zh-CN" w:bidi="ar-SA"/>
        </w:rPr>
        <w:t>10.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常德市建设工程造价管理站发布的常德市二0一五年第一期安装工程材料价格及市场询价；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1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1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.各种相应的标准图集和设计、施工规范；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br w:type="textWrapping"/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12.现场踏勘情况。</w:t>
      </w:r>
    </w:p>
    <w:p>
      <w:pPr>
        <w:spacing w:line="560" w:lineRule="exact"/>
        <w:ind w:firstLine="640" w:firstLineChars="200"/>
        <w:jc w:val="both"/>
        <w:textAlignment w:val="baseline"/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  <w:t>三、评审范围</w:t>
      </w:r>
    </w:p>
    <w:p>
      <w:pPr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常德市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三中心内部装修工程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的工程费。</w:t>
      </w:r>
    </w:p>
    <w:p>
      <w:pPr>
        <w:snapToGrid w:val="0"/>
        <w:spacing w:line="600" w:lineRule="exact"/>
        <w:ind w:firstLine="640" w:firstLineChars="200"/>
        <w:jc w:val="both"/>
        <w:textAlignment w:val="baseline"/>
        <w:rPr>
          <w:rStyle w:val="7"/>
          <w:rFonts w:hint="eastAsia" w:ascii="黑体" w:hAnsi="黑体" w:eastAsia="黑体" w:cs="黑体"/>
          <w:b w:val="0"/>
          <w:bCs/>
          <w:kern w:val="2"/>
          <w:sz w:val="32"/>
          <w:szCs w:val="22"/>
          <w:lang w:val="zh-CN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szCs w:val="22"/>
          <w:lang w:val="zh-CN" w:eastAsia="zh-CN" w:bidi="ar-SA"/>
        </w:rPr>
        <w:t>四、评审程序</w:t>
      </w:r>
    </w:p>
    <w:p>
      <w:pPr>
        <w:spacing w:line="600" w:lineRule="exact"/>
        <w:ind w:left="638" w:leftChars="304"/>
        <w:jc w:val="both"/>
        <w:textAlignment w:val="baseline"/>
        <w:rPr>
          <w:rStyle w:val="7"/>
          <w:rFonts w:ascii="仿宋_GB2312" w:hAns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1. 成立评审小组，熟悉资料，制定评审方案；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br w:type="textWrapping" w:clear="all"/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2. 现场踏勘；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br w:type="textWrapping" w:clear="all"/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3. 审查、取证、计量、分析、汇总，形成初步评审结论；</w:t>
      </w:r>
    </w:p>
    <w:p>
      <w:pPr>
        <w:snapToGrid w:val="0"/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_GB2312" w:eastAsia="仿宋_GB2312"/>
          <w:kern w:val="2"/>
          <w:sz w:val="32"/>
          <w:szCs w:val="32"/>
          <w:lang w:val="en-US" w:eastAsia="zh-CN" w:bidi="ar-SA"/>
        </w:rPr>
        <w:t xml:space="preserve">4. 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将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lang w:val="zh-CN" w:eastAsia="zh-CN" w:bidi="ar-SA"/>
        </w:rPr>
        <w:t>评审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结果与常德市城投龙马建设项目管理有限公司对账，形成评审结论，由其签字盖章认可；</w:t>
      </w:r>
    </w:p>
    <w:p>
      <w:pPr>
        <w:spacing w:line="600" w:lineRule="exact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lang w:val="zh-CN" w:eastAsia="zh-CN" w:bidi="ar-SA"/>
        </w:rPr>
        <w:t>　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 xml:space="preserve">5. 整理评审工作底稿等资料并归档，出具评审报告。 </w:t>
      </w:r>
    </w:p>
    <w:p>
      <w:pPr>
        <w:snapToGrid w:val="0"/>
        <w:spacing w:line="560" w:lineRule="exact"/>
        <w:ind w:firstLine="630"/>
        <w:jc w:val="both"/>
        <w:textAlignment w:val="baseline"/>
        <w:rPr>
          <w:rStyle w:val="7"/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五、评审中发现的主要问题与审核情况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工程排污费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无付款凭证不予计算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14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圣地亚机刨石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意大利灰麻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等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花岗岩工程量多计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37.78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窗帘工程量多计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审减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17.68万元；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PVC踢脚线工程量多计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审减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3.3万元；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复合门及门套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暗门工程量多计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5.28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钢化玻璃门不锈钢边框与墙面装饰重复计算，审减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3.2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胶合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板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复合地板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卫生间成品隔断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等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85.8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单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双层隔断墙子目高套，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225.5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万元；全瓷墙面砖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玻化砖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陶瓷地面砖工程量多计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36.65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LED星空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艺术手绘星空顶工程量多计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77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天棚喷涂工程量多计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且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子目高套，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16.52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变形缝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报送价格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减13.53万元；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防火卷帘门工程量多计，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减12.18万元；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楼梯间金属扶手栏杆工程量多计，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减13.42万元；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垂直运输机械费工程量多计，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减20.91万元；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二次搬运费工程量多计，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减18.69万元；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妇女儿童活动中心场景服装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报送价格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偏高，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审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减34.61万元；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轻钢龙骨隔断胶合板基层工程量多计，审减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54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青少年活动中心中庭银灰色铝塑板、钢结构防火漆等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工程量多计，审减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53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二层及以上木材面刷桐油未做，审减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3.8万元;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天棚石膏板吊顶工程量多计，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47.86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负一层装饰墙面基层重复计算，审减46.42万元；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环氧树脂地面、防滑地胶工程量多计，审减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23.6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  <w:t>墙面、地面钢骨架工程量多计，审减9.31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盥洗室重复计取，审减2.86万元；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zh-CN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环氧树脂压花地坪、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矿棉板等材料价格偏高，审减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11</w:t>
      </w:r>
      <w:r>
        <w:rPr>
          <w:rStyle w:val="7"/>
          <w:rFonts w:ascii="仿宋_GB2312" w:hAnsi="仿宋" w:eastAsia="仿宋_GB2312"/>
          <w:kern w:val="2"/>
          <w:sz w:val="32"/>
          <w:szCs w:val="22"/>
          <w:highlight w:val="none"/>
          <w:lang w:val="en-US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三中心家具工程量多计及与装饰重计，部分单价偏高，审减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277.21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LED灯带、灯管子目高套，工程量多计，审减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lang w:val="en-US" w:eastAsia="zh-CN" w:bidi="ar-SA"/>
        </w:rPr>
        <w:t>67.14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科技馆安装配管、配线、电缆、灯具工程量多计及部分主材价偏高，共审减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54.68万元；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青少年活动中心、妇女儿童活动中心、公共区域安装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配管、配线、电缆、灯具工程量多计及部分主材价偏高，共审减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92.31万元；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多功能厅中央空调、消防、喷淋暂列扣减，审减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11.78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洁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具、桥架工程量多计及部分主材价偏高，审减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16.3万元；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成品定制灯箱，主材价格偏高，审减17.1万元；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定制菱形艺术造型灯，主材价格偏高，审减8.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en-US" w:eastAsia="zh-CN" w:bidi="ar-SA"/>
        </w:rPr>
        <w:t>97</w:t>
      </w:r>
      <w:r>
        <w:rPr>
          <w:rStyle w:val="7"/>
          <w:rFonts w:ascii="仿宋_GB2312" w:hAnsi="仿宋" w:eastAsia="仿宋_GB2312"/>
          <w:kern w:val="2"/>
          <w:sz w:val="32"/>
          <w:szCs w:val="22"/>
          <w:lang w:val="zh-CN" w:eastAsia="zh-CN" w:bidi="ar-SA"/>
        </w:rPr>
        <w:t>万元</w:t>
      </w:r>
      <w:r>
        <w:rPr>
          <w:rStyle w:val="7"/>
          <w:rFonts w:hint="eastAsia" w:ascii="仿宋_GB2312" w:hAnsi="仿宋" w:eastAsia="仿宋_GB2312"/>
          <w:kern w:val="2"/>
          <w:sz w:val="32"/>
          <w:szCs w:val="22"/>
          <w:lang w:val="zh-CN" w:eastAsia="zh-CN" w:bidi="ar-SA"/>
        </w:rPr>
        <w:t>。</w:t>
      </w:r>
    </w:p>
    <w:p>
      <w:pPr>
        <w:snapToGrid w:val="0"/>
        <w:spacing w:line="600" w:lineRule="exact"/>
        <w:ind w:firstLine="640" w:firstLineChars="200"/>
        <w:jc w:val="both"/>
        <w:textAlignment w:val="baseline"/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  <w:t>六、评审结论</w:t>
      </w:r>
      <w:r>
        <w:rPr>
          <w:rStyle w:val="7"/>
          <w:rFonts w:hint="eastAsia" w:ascii="黑体" w:hAnsi="黑体" w:eastAsia="黑体" w:cs="黑体"/>
          <w:b w:val="0"/>
          <w:bCs/>
          <w:kern w:val="2"/>
          <w:sz w:val="32"/>
          <w:lang w:val="en-US" w:eastAsia="zh-CN" w:bidi="ar-SA"/>
        </w:rPr>
        <w:tab/>
      </w:r>
    </w:p>
    <w:p>
      <w:pPr>
        <w:snapToGrid w:val="0"/>
        <w:spacing w:line="600" w:lineRule="exact"/>
        <w:ind w:firstLine="640" w:firstLineChars="2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该项目送审金额43736629元，审定金额26639460元，审减金额17097169元，审减率39.09%（明细见审核汇总表）。</w:t>
      </w:r>
    </w:p>
    <w:p>
      <w:pPr>
        <w:spacing w:line="600" w:lineRule="exact"/>
        <w:ind w:firstLine="4480" w:firstLineChars="14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</w:p>
    <w:p>
      <w:pPr>
        <w:spacing w:line="600" w:lineRule="exact"/>
        <w:ind w:firstLine="4480" w:firstLineChars="14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</w:p>
    <w:p>
      <w:pPr>
        <w:spacing w:line="600" w:lineRule="exact"/>
        <w:ind w:firstLine="4480" w:firstLineChars="14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常德市财政局投资评审中心</w:t>
      </w:r>
    </w:p>
    <w:p>
      <w:pPr>
        <w:spacing w:line="600" w:lineRule="exact"/>
        <w:ind w:firstLine="5120" w:firstLineChars="160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  <w:r>
        <w:rPr>
          <w:rStyle w:val="7"/>
          <w:rFonts w:hint="eastAsia" w:ascii="仿宋_GB2312" w:hAnsi="仿宋" w:eastAsia="仿宋_GB2312"/>
          <w:kern w:val="2"/>
          <w:sz w:val="32"/>
          <w:lang w:val="en-US" w:eastAsia="zh-CN" w:bidi="ar-SA"/>
        </w:rPr>
        <w:t>2020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年</w:t>
      </w:r>
      <w:r>
        <w:rPr>
          <w:rStyle w:val="7"/>
          <w:rFonts w:hint="eastAsia" w:ascii="仿宋_GB2312" w:hAnsi="仿宋" w:eastAsia="仿宋_GB2312"/>
          <w:kern w:val="2"/>
          <w:sz w:val="32"/>
          <w:lang w:val="en-US" w:eastAsia="zh-CN" w:bidi="ar-SA"/>
        </w:rPr>
        <w:t>12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月</w:t>
      </w:r>
      <w:r>
        <w:rPr>
          <w:rStyle w:val="7"/>
          <w:rFonts w:hint="eastAsia" w:ascii="仿宋_GB2312" w:hAnsi="仿宋" w:eastAsia="仿宋_GB2312"/>
          <w:kern w:val="2"/>
          <w:sz w:val="32"/>
          <w:lang w:val="en-US" w:eastAsia="zh-CN" w:bidi="ar-SA"/>
        </w:rPr>
        <w:t>17</w:t>
      </w: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日</w:t>
      </w:r>
    </w:p>
    <w:p>
      <w:pPr>
        <w:spacing w:line="600" w:lineRule="exact"/>
        <w:ind w:firstLine="5280" w:firstLineChars="1650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</w:pPr>
    </w:p>
    <w:p>
      <w:pPr>
        <w:spacing w:before="156" w:line="360" w:lineRule="auto"/>
        <w:jc w:val="both"/>
        <w:textAlignment w:val="baseline"/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hAnsi="仿宋" w:eastAsia="仿宋_GB2312"/>
          <w:kern w:val="2"/>
          <w:sz w:val="32"/>
          <w:lang w:val="en-US" w:eastAsia="zh-CN" w:bidi="ar-SA"/>
        </w:rPr>
        <w:t>抄送：</w:t>
      </w:r>
      <w:r>
        <w:rPr>
          <w:rStyle w:val="7"/>
          <w:rFonts w:ascii="仿宋_GB2312" w:hAnsi="仿宋" w:eastAsia="仿宋_GB2312"/>
          <w:kern w:val="2"/>
          <w:sz w:val="32"/>
          <w:szCs w:val="32"/>
          <w:lang w:val="en-US" w:eastAsia="zh-CN" w:bidi="ar-SA"/>
        </w:rPr>
        <w:t>常德市城投龙马建设项目管理有限公司</w:t>
      </w:r>
    </w:p>
    <w:p>
      <w:pPr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  <w:t>附表</w:t>
      </w:r>
    </w:p>
    <w:tbl>
      <w:tblPr>
        <w:tblStyle w:val="5"/>
        <w:tblW w:w="911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3120"/>
        <w:gridCol w:w="1320"/>
        <w:gridCol w:w="1440"/>
        <w:gridCol w:w="1425"/>
        <w:gridCol w:w="11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1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Tahoma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常德市三中心内部装修结算评审汇总表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11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                                             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送审金额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审减金额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科技馆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12263895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6669681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5594213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青少年活动中心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7689299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5285568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2403732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妇女儿童活动中心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7294027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4969401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2324626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7260116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4884712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2375404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办公家具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4575919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1803833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2772086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     装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4274376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2689608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1584768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  证 单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378998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174867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204131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人工工日调差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161790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-161790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43736629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26639460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17097169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Tahoma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</w:p>
    <w:p>
      <w:pPr>
        <w:jc w:val="both"/>
        <w:textAlignment w:val="baseline"/>
        <w:rPr>
          <w:rStyle w:val="7"/>
          <w:kern w:val="2"/>
          <w:sz w:val="21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endnotePr>
        <w:numFmt w:val="decimal"/>
      </w:endnotePr>
      <w:pgSz w:w="11906" w:h="16838"/>
      <w:pgMar w:top="2154" w:right="1531" w:bottom="1440" w:left="1531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outside" w:y="1"/>
      <w:widowControl/>
      <w:snapToGrid w:val="0"/>
      <w:jc w:val="left"/>
      <w:textAlignment w:val="baseline"/>
      <w:rPr>
        <w:rStyle w:val="9"/>
        <w:rFonts w:ascii="仿宋_GB2312" w:eastAsia="仿宋_GB2312"/>
        <w:kern w:val="2"/>
        <w:sz w:val="32"/>
        <w:szCs w:val="32"/>
        <w:lang w:val="en-US" w:eastAsia="zh-CN" w:bidi="ar-SA"/>
      </w:rPr>
    </w:pPr>
  </w:p>
  <w:p>
    <w:pPr>
      <w:pStyle w:val="3"/>
      <w:widowControl/>
      <w:snapToGrid w:val="0"/>
      <w:ind w:right="360" w:firstLine="360"/>
      <w:jc w:val="left"/>
      <w:textAlignment w:val="baseline"/>
      <w:rPr>
        <w:rStyle w:val="7"/>
        <w:kern w:val="2"/>
        <w:sz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outside" w:y="1"/>
      <w:widowControl/>
      <w:snapToGrid w:val="0"/>
      <w:jc w:val="left"/>
      <w:textAlignment w:val="baseline"/>
      <w:rPr>
        <w:rStyle w:val="9"/>
        <w:kern w:val="2"/>
        <w:sz w:val="18"/>
        <w:lang w:val="en-US" w:eastAsia="zh-CN" w:bidi="ar-SA"/>
      </w:rPr>
    </w:pPr>
  </w:p>
  <w:p>
    <w:pPr>
      <w:pStyle w:val="3"/>
      <w:widowControl/>
      <w:snapToGrid w:val="0"/>
      <w:ind w:right="360" w:firstLine="360"/>
      <w:jc w:val="left"/>
      <w:textAlignment w:val="baseline"/>
      <w:rPr>
        <w:rStyle w:val="7"/>
        <w:kern w:val="2"/>
        <w:sz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51623"/>
    <w:multiLevelType w:val="singleLevel"/>
    <w:tmpl w:val="88B5162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endnotePr>
    <w:numFmt w:val="decimal"/>
  </w:endnotePr>
  <w:compat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AB95606"/>
    <w:rsid w:val="32516583"/>
    <w:rsid w:val="4404710D"/>
    <w:rsid w:val="46E814E2"/>
    <w:rsid w:val="4942186F"/>
    <w:rsid w:val="698B184E"/>
    <w:rsid w:val="6C382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  <w:jc w:val="both"/>
      <w:textAlignment w:val="baseline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lang w:val="en-US" w:eastAsia="zh-CN" w:bidi="ar-SA"/>
    </w:rPr>
  </w:style>
  <w:style w:type="character" w:customStyle="1" w:styleId="7">
    <w:name w:val="NormalCharacter"/>
    <w:link w:val="1"/>
    <w:qFormat/>
    <w:uiPriority w:val="0"/>
  </w:style>
  <w:style w:type="table" w:customStyle="1" w:styleId="8">
    <w:name w:val="TableNormal"/>
    <w:semiHidden/>
    <w:qFormat/>
    <w:uiPriority w:val="0"/>
  </w:style>
  <w:style w:type="character" w:customStyle="1" w:styleId="9">
    <w:name w:val="PageNumber"/>
    <w:basedOn w:val="7"/>
    <w:link w:val="1"/>
    <w:qFormat/>
    <w:uiPriority w:val="0"/>
  </w:style>
  <w:style w:type="character" w:customStyle="1" w:styleId="10">
    <w:name w:val="UserStyle_0"/>
    <w:link w:val="1"/>
    <w:qFormat/>
    <w:uiPriority w:val="0"/>
    <w:rPr>
      <w:rFonts w:ascii="宋体" w:hAnsi="宋体" w:eastAsia="宋体"/>
      <w:color w:val="000000"/>
      <w:sz w:val="20"/>
      <w:szCs w:val="20"/>
    </w:rPr>
  </w:style>
  <w:style w:type="paragraph" w:customStyle="1" w:styleId="11">
    <w:name w:val="BodyText"/>
    <w:basedOn w:val="1"/>
    <w:qFormat/>
    <w:uiPriority w:val="0"/>
    <w:pPr>
      <w:jc w:val="center"/>
      <w:textAlignment w:val="baseline"/>
    </w:pPr>
    <w:rPr>
      <w:rFonts w:eastAsia="方正大标宋简体"/>
      <w:kern w:val="2"/>
      <w:sz w:val="42"/>
      <w:lang w:val="en-US" w:eastAsia="zh-CN" w:bidi="ar-SA"/>
    </w:rPr>
  </w:style>
  <w:style w:type="paragraph" w:customStyle="1" w:styleId="12">
    <w:name w:val="Acetate"/>
    <w:basedOn w:val="1"/>
    <w:qFormat/>
    <w:uiPriority w:val="0"/>
    <w:pPr>
      <w:jc w:val="both"/>
      <w:textAlignment w:val="baseline"/>
    </w:pPr>
    <w:rPr>
      <w:kern w:val="2"/>
      <w:sz w:val="18"/>
      <w:lang w:val="en-US" w:eastAsia="zh-CN" w:bidi="ar-SA"/>
    </w:rPr>
  </w:style>
  <w:style w:type="paragraph" w:customStyle="1" w:styleId="13">
    <w:name w:val="179"/>
    <w:basedOn w:val="1"/>
    <w:qFormat/>
    <w:uiPriority w:val="0"/>
    <w:pPr>
      <w:ind w:firstLine="420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2020-12-11T00:11:00Z</dcterms:created>
  <dc:creator>Administrator</dc:creator>
  <cp:lastModifiedBy>   TA。</cp:lastModifiedBy>
  <dcterms:modified xsi:type="dcterms:W3CDTF">2020-12-28T01:52:47Z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