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6"/>
        <w:gridCol w:w="1908"/>
        <w:gridCol w:w="1061"/>
        <w:gridCol w:w="3426"/>
        <w:gridCol w:w="2069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57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2015年度西湖管理区财政局一般公共预算收支决算总表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57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573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  <w:tc>
          <w:tcPr>
            <w:tcW w:w="3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20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增值税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其中:改征增值税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营业税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企业所得税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3,746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企业所得税退税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个人所得税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七、文化体育与传媒支出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资源税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16,397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城市维护建设税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九、医疗卫生与计划生育支出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房产税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印花税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城镇土地使用税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7,643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土地增值税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车船税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耕地占用税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契税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烟叶税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其他税收收入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十八、国土海洋气象等支出</w:t>
            </w:r>
          </w:p>
        </w:tc>
        <w:tc>
          <w:tcPr>
            <w:tcW w:w="20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6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06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3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20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5,897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专项收入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行政事业性收费收入</w:t>
            </w:r>
          </w:p>
        </w:tc>
        <w:tc>
          <w:tcPr>
            <w:tcW w:w="1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0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二十一、预备费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罚没收入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206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683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国有资本经营收入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二十三、债务付息支出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国有资源(资产)有偿使用收入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二十四、债务发行费用支出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其他收入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426" w:type="dxa"/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2,914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42,836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42,680</w:t>
            </w:r>
          </w:p>
        </w:tc>
      </w:tr>
    </w:tbl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atLeast"/>
        <w:ind w:firstLine="480"/>
        <w:jc w:val="left"/>
        <w:rPr>
          <w:rFonts w:hint="eastAsia" w:ascii="仿宋" w:hAnsi="仿宋" w:eastAsia="仿宋" w:cs="仿宋"/>
          <w:color w:val="3D3D3D"/>
          <w:kern w:val="0"/>
          <w:sz w:val="32"/>
          <w:szCs w:val="32"/>
          <w:lang w:eastAsia="zh-CN"/>
        </w:rPr>
      </w:pPr>
    </w:p>
    <w:p/>
    <w:sectPr>
      <w:pgSz w:w="16838" w:h="11906" w:orient="landscape"/>
      <w:pgMar w:top="1009" w:right="1213" w:bottom="1009" w:left="1383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8C"/>
    <w:rsid w:val="0031278C"/>
    <w:rsid w:val="00BE0474"/>
    <w:rsid w:val="00E6162F"/>
    <w:rsid w:val="00FC5F83"/>
    <w:rsid w:val="0B9F3C4A"/>
    <w:rsid w:val="0BCA3579"/>
    <w:rsid w:val="0D932447"/>
    <w:rsid w:val="122F02FA"/>
    <w:rsid w:val="14366128"/>
    <w:rsid w:val="1516023E"/>
    <w:rsid w:val="2554309B"/>
    <w:rsid w:val="28FB5A75"/>
    <w:rsid w:val="2C2740A6"/>
    <w:rsid w:val="2EBD4427"/>
    <w:rsid w:val="2ECD44E8"/>
    <w:rsid w:val="31664CDB"/>
    <w:rsid w:val="31C12A68"/>
    <w:rsid w:val="329C0EC5"/>
    <w:rsid w:val="34683AB3"/>
    <w:rsid w:val="355B7EDB"/>
    <w:rsid w:val="35720589"/>
    <w:rsid w:val="3B4275AA"/>
    <w:rsid w:val="3E1955A0"/>
    <w:rsid w:val="3E2657FF"/>
    <w:rsid w:val="41F01A4D"/>
    <w:rsid w:val="45180D41"/>
    <w:rsid w:val="49543424"/>
    <w:rsid w:val="4B8B53A1"/>
    <w:rsid w:val="52DE3609"/>
    <w:rsid w:val="53B51892"/>
    <w:rsid w:val="544D5D4B"/>
    <w:rsid w:val="546761ED"/>
    <w:rsid w:val="54797302"/>
    <w:rsid w:val="57971B3E"/>
    <w:rsid w:val="5A1C7AB6"/>
    <w:rsid w:val="5B3F6309"/>
    <w:rsid w:val="5C404EA1"/>
    <w:rsid w:val="5F2A0BED"/>
    <w:rsid w:val="62F2666A"/>
    <w:rsid w:val="6585683B"/>
    <w:rsid w:val="663B22D7"/>
    <w:rsid w:val="664E5C4D"/>
    <w:rsid w:val="66674AFE"/>
    <w:rsid w:val="683B1073"/>
    <w:rsid w:val="6A572A05"/>
    <w:rsid w:val="711F6C31"/>
    <w:rsid w:val="7837184B"/>
    <w:rsid w:val="79547F2B"/>
    <w:rsid w:val="7AA5764F"/>
    <w:rsid w:val="7F1A11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742</Characters>
  <Lines>6</Lines>
  <Paragraphs>1</Paragraphs>
  <ScaleCrop>false</ScaleCrop>
  <LinksUpToDate>false</LinksUpToDate>
  <CharactersWithSpaces>871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2016-08-12T01:14:00Z</dcterms:created>
  <dc:creator>dreamsummit</dc:creator>
  <cp:lastModifiedBy>Administrator</cp:lastModifiedBy>
  <dcterms:modified xsi:type="dcterms:W3CDTF">2016-09-27T08:16:34Z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