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b/>
          <w:color w:val="222222"/>
          <w:kern w:val="0"/>
          <w:sz w:val="44"/>
          <w:szCs w:val="44"/>
        </w:rPr>
      </w:pPr>
    </w:p>
    <w:p>
      <w:pPr>
        <w:widowControl/>
        <w:spacing w:line="560" w:lineRule="exact"/>
        <w:jc w:val="center"/>
        <w:rPr>
          <w:rFonts w:ascii="Times New Roman" w:hAnsi="Times New Roman"/>
          <w:b/>
          <w:color w:val="222222"/>
          <w:kern w:val="0"/>
          <w:sz w:val="44"/>
          <w:szCs w:val="44"/>
        </w:rPr>
      </w:pPr>
      <w:r>
        <w:rPr>
          <w:rFonts w:hint="eastAsia" w:ascii="Times New Roman" w:hAnsi="Times New Roman"/>
          <w:b/>
          <w:color w:val="222222"/>
          <w:kern w:val="0"/>
          <w:sz w:val="44"/>
          <w:szCs w:val="44"/>
          <w:lang w:val="en-US" w:eastAsia="zh-CN"/>
        </w:rPr>
        <w:t>2020年度中共常德市委机构编制委员会办公室</w:t>
      </w:r>
      <w:r>
        <w:rPr>
          <w:rFonts w:hint="eastAsia" w:ascii="Times New Roman" w:hAnsi="Times New Roman"/>
          <w:b/>
          <w:color w:val="222222"/>
          <w:kern w:val="0"/>
          <w:sz w:val="44"/>
          <w:szCs w:val="44"/>
        </w:rPr>
        <w:t>部门</w:t>
      </w:r>
      <w:r>
        <w:rPr>
          <w:rFonts w:ascii="Times New Roman" w:hAnsi="Times New Roman"/>
          <w:b/>
          <w:color w:val="222222"/>
          <w:kern w:val="0"/>
          <w:sz w:val="44"/>
          <w:szCs w:val="44"/>
        </w:rPr>
        <w:t>整体支出绩效评价报告</w:t>
      </w:r>
    </w:p>
    <w:p>
      <w:pPr>
        <w:widowControl/>
        <w:spacing w:line="560" w:lineRule="exact"/>
        <w:ind w:firstLine="640"/>
        <w:rPr>
          <w:rFonts w:ascii="Times New Roman" w:hAnsi="Times New Roman" w:eastAsia="仿宋_GB2312"/>
          <w:color w:val="222222"/>
          <w:kern w:val="0"/>
          <w:sz w:val="32"/>
          <w:szCs w:val="32"/>
        </w:rPr>
      </w:pPr>
    </w:p>
    <w:p>
      <w:pPr>
        <w:widowControl/>
        <w:spacing w:line="560" w:lineRule="exact"/>
        <w:ind w:firstLine="640"/>
        <w:rPr>
          <w:rFonts w:ascii="Times New Roman" w:hAnsi="Times New Roman" w:eastAsia="黑体"/>
          <w:color w:val="222222"/>
          <w:kern w:val="0"/>
          <w:sz w:val="32"/>
          <w:szCs w:val="32"/>
        </w:rPr>
      </w:pPr>
      <w:r>
        <w:rPr>
          <w:rFonts w:ascii="Times New Roman" w:hAnsi="Times New Roman" w:eastAsia="黑体"/>
          <w:color w:val="222222"/>
          <w:kern w:val="0"/>
          <w:sz w:val="32"/>
          <w:szCs w:val="32"/>
        </w:rPr>
        <w:t>一、部门概况</w:t>
      </w:r>
    </w:p>
    <w:p>
      <w:pPr>
        <w:widowControl/>
        <w:spacing w:line="560" w:lineRule="exact"/>
        <w:ind w:firstLine="640"/>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（一）机构、人员构成</w:t>
      </w:r>
    </w:p>
    <w:p>
      <w:pPr>
        <w:widowControl/>
        <w:spacing w:line="560" w:lineRule="exact"/>
        <w:ind w:firstLine="640"/>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中共常德市委机构编制委员会办公室（以下简称“市委编委办”）是市机构编制委员会的常设办事机构，在市机构编制委员会领导下负责全市行政管理体制和机构改革以及机构编制的日常管理工作。根据市编办核定，市编办内设科室7个，所属事业单位1个；内设科室分别是综合科（改革科）、市直科、用编管理科、县乡科、监督检查科、事业单位登记科、研究室（政策法规科）；所属事业单位是市机构编制事务中心。我单位实有职工28人，其中行政人员23人，事业人员5人。</w:t>
      </w:r>
    </w:p>
    <w:p>
      <w:pPr>
        <w:widowControl/>
        <w:numPr>
          <w:ilvl w:val="0"/>
          <w:numId w:val="1"/>
        </w:numPr>
        <w:spacing w:line="560" w:lineRule="exact"/>
        <w:ind w:firstLine="640"/>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单位主要职责</w:t>
      </w:r>
    </w:p>
    <w:p>
      <w:pPr>
        <w:widowControl/>
        <w:spacing w:line="560" w:lineRule="exact"/>
        <w:ind w:firstLine="640"/>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1.拟定行政管理体制改革和机构改革及机构编制管理的实施办法，统一管理全市各级党政机关和人大、政协、法院、检察院机关以及各民主党派、人民团体机关的机构编制工作，检查监督各级行政管理体制改革和机构改革方案以及机构编制执行情况。</w:t>
      </w:r>
    </w:p>
    <w:p>
      <w:pPr>
        <w:widowControl/>
        <w:spacing w:line="560" w:lineRule="exact"/>
        <w:ind w:firstLine="640"/>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2.研究拟定全市行政管理体制改革与机构改革方案及有关规定；审核市直各部门和区县(市)党政机构改革方案；指导、协调各级行政管理体制改革和机构改革以及机构编制管理工作。</w:t>
      </w:r>
    </w:p>
    <w:p>
      <w:pPr>
        <w:widowControl/>
        <w:spacing w:line="560" w:lineRule="exact"/>
        <w:ind w:firstLine="640"/>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3.协调市委、市政府各部门的职能配置及其调整；协调市委各部门之间、市政府各部门之间、市委各部门与市政府各部门之间以及各部门与区县(市)之间的职责分工。</w:t>
      </w:r>
    </w:p>
    <w:p>
      <w:pPr>
        <w:widowControl/>
        <w:spacing w:line="560" w:lineRule="exact"/>
        <w:ind w:firstLine="640"/>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4.负责市委、市政府各部门的机构设置(含内设机构)、人员编制的审核和科级领导职数的审批，提出市委、市政府各部门领导班子职数配备的建议；审核区县(市)党政群机关副科级以上机构设置和县乡党政群机关的行政编制总额。</w:t>
      </w:r>
    </w:p>
    <w:p>
      <w:pPr>
        <w:widowControl/>
        <w:spacing w:line="560" w:lineRule="exact"/>
        <w:ind w:firstLine="640"/>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5.负责市人大、市政协、市中级人民法院、市人民检察院机关和各民主党派、人民团体机关的机构设置(含内设机构)、人员编制的审核和科级领导职数的审批，提出领导班子职数配备的建议。</w:t>
      </w:r>
    </w:p>
    <w:p>
      <w:pPr>
        <w:widowControl/>
        <w:spacing w:line="560" w:lineRule="exact"/>
        <w:ind w:firstLine="640"/>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6.研究拟定全市事业单位管理体制和机构改革方案，负责事业单位机构编制管理工作；负责市直副处级以上事业单位机构设置(含内设机构)、职能配置、人员编制的审核和科级领导职数的审批；审核市直科级事业单位机构设置、职能配置、人员编制和领导职数；提出市直副处级以上事业单位领导班子职数配备的建议；审核区、县(市)副科级以上事业单位机构设置；制订全市性事业单位机构编制标准；指导、协调各级各类事业单位管理体制改革和机构编制管理工作。</w:t>
      </w:r>
    </w:p>
    <w:p>
      <w:pPr>
        <w:widowControl/>
        <w:spacing w:line="560" w:lineRule="exact"/>
        <w:ind w:firstLine="640"/>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7.负责研究改革重大问题，参与相关改革工作；负责市政府工作部门权力清单审核相关工作，配合推进相对行政许可权改革工作；负责起草全市机构编制工作政策法规和规章制度，配合推进机构编制法定化；负责全市党政机关事业单位网上名称管理工作。</w:t>
      </w:r>
    </w:p>
    <w:p>
      <w:pPr>
        <w:widowControl/>
        <w:spacing w:line="560" w:lineRule="exact"/>
        <w:ind w:firstLine="640"/>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8.研究拟定全市机构编制宏观规划和年度计划，并监督实施；办理市直机关事业单位上下编事宜；协同有关部门做好市直机关事业单位人员调入、录用和政策性分配安置工作。</w:t>
      </w:r>
    </w:p>
    <w:p>
      <w:pPr>
        <w:widowControl/>
        <w:spacing w:line="560" w:lineRule="exact"/>
        <w:ind w:firstLine="640"/>
        <w:rPr>
          <w:rFonts w:hint="eastAsia" w:ascii="仿宋_GB2312" w:hAnsi="宋体" w:eastAsia="仿宋_GB2312" w:cs="Times New Roman"/>
          <w:kern w:val="0"/>
          <w:sz w:val="32"/>
          <w:szCs w:val="32"/>
          <w:lang w:val="en-US" w:eastAsia="zh-CN" w:bidi="ar"/>
        </w:rPr>
      </w:pPr>
      <w:r>
        <w:rPr>
          <w:rFonts w:hint="eastAsia" w:ascii="仿宋_GB2312" w:hAnsi="宋体" w:eastAsia="仿宋_GB2312" w:cs="Times New Roman"/>
          <w:kern w:val="0"/>
          <w:sz w:val="32"/>
          <w:szCs w:val="32"/>
          <w:lang w:val="en-US" w:eastAsia="zh-CN" w:bidi="ar"/>
        </w:rPr>
        <w:t>9.拟定全市事业单位登记管理的规范性文件，并组织实施；负责市本级登记管辖范围内事业单位的登记、年检年审和监督管理工作；负责事业单位登记管理行政复议、行政诉讼应诉工作，检查监督和指导协调全市事业单位登记管理工作。</w:t>
      </w:r>
    </w:p>
    <w:p>
      <w:pPr>
        <w:widowControl/>
        <w:spacing w:line="560" w:lineRule="exact"/>
        <w:ind w:firstLine="640"/>
        <w:rPr>
          <w:rFonts w:ascii="Times New Roman" w:hAnsi="Times New Roman" w:eastAsia="黑体"/>
          <w:color w:val="222222"/>
          <w:kern w:val="0"/>
          <w:sz w:val="32"/>
          <w:szCs w:val="32"/>
        </w:rPr>
      </w:pPr>
      <w:r>
        <w:rPr>
          <w:rFonts w:hint="eastAsia" w:ascii="Times New Roman" w:hAnsi="黑体" w:eastAsia="黑体"/>
          <w:color w:val="222222"/>
          <w:kern w:val="0"/>
          <w:sz w:val="32"/>
          <w:szCs w:val="32"/>
        </w:rPr>
        <w:t>二</w:t>
      </w:r>
      <w:r>
        <w:rPr>
          <w:rFonts w:ascii="Times New Roman" w:hAnsi="黑体" w:eastAsia="黑体"/>
          <w:color w:val="222222"/>
          <w:kern w:val="0"/>
          <w:sz w:val="32"/>
          <w:szCs w:val="32"/>
        </w:rPr>
        <w:t>、</w:t>
      </w:r>
      <w:r>
        <w:rPr>
          <w:rFonts w:hint="eastAsia" w:ascii="Times New Roman" w:hAnsi="黑体" w:eastAsia="黑体"/>
          <w:color w:val="222222"/>
          <w:kern w:val="0"/>
          <w:sz w:val="32"/>
          <w:szCs w:val="32"/>
        </w:rPr>
        <w:t>一般公共预算支出情况</w:t>
      </w:r>
    </w:p>
    <w:p>
      <w:pPr>
        <w:keepNext w:val="0"/>
        <w:keepLines w:val="0"/>
        <w:pageBreakBefore w:val="0"/>
        <w:kinsoku/>
        <w:wordWrap/>
        <w:overflowPunct/>
        <w:topLinePunct w:val="0"/>
        <w:autoSpaceDE/>
        <w:autoSpaceDN/>
        <w:bidi w:val="0"/>
        <w:adjustRightInd/>
        <w:spacing w:line="560" w:lineRule="exact"/>
        <w:ind w:firstLine="640" w:firstLineChars="200"/>
        <w:rPr>
          <w:rFonts w:eastAsia="楷体_GB2312"/>
          <w:sz w:val="32"/>
          <w:szCs w:val="32"/>
        </w:rPr>
      </w:pPr>
      <w:r>
        <w:rPr>
          <w:rFonts w:eastAsia="楷体_GB2312"/>
          <w:sz w:val="32"/>
          <w:szCs w:val="32"/>
        </w:rPr>
        <w:t>（一）基本支出情况</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1.基本支出预、决算情况</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Times New Roman" w:hAnsi="Times New Roman" w:eastAsia="仿宋" w:cs="Times New Roman"/>
          <w:sz w:val="32"/>
          <w:szCs w:val="32"/>
          <w:u w:val="none"/>
          <w:lang w:eastAsia="zh-CN"/>
        </w:rPr>
      </w:pPr>
      <w:r>
        <w:rPr>
          <w:rFonts w:hint="default" w:ascii="Times New Roman" w:hAnsi="Times New Roman" w:eastAsia="仿宋" w:cs="Times New Roman"/>
          <w:sz w:val="32"/>
          <w:szCs w:val="32"/>
          <w:u w:val="none"/>
        </w:rPr>
        <w:t>20</w:t>
      </w:r>
      <w:r>
        <w:rPr>
          <w:rFonts w:hint="eastAsia" w:ascii="Times New Roman" w:hAnsi="Times New Roman" w:eastAsia="仿宋" w:cs="Times New Roman"/>
          <w:sz w:val="32"/>
          <w:szCs w:val="32"/>
          <w:u w:val="none"/>
          <w:lang w:val="en-US" w:eastAsia="zh-CN"/>
        </w:rPr>
        <w:t>20</w:t>
      </w:r>
      <w:r>
        <w:rPr>
          <w:rFonts w:hint="default" w:ascii="Times New Roman" w:hAnsi="Times New Roman" w:eastAsia="仿宋" w:cs="Times New Roman"/>
          <w:sz w:val="32"/>
          <w:szCs w:val="32"/>
          <w:u w:val="none"/>
        </w:rPr>
        <w:t>年基本支出</w:t>
      </w:r>
      <w:r>
        <w:rPr>
          <w:rFonts w:hint="eastAsia" w:ascii="Times New Roman" w:hAnsi="Times New Roman" w:eastAsia="仿宋" w:cs="Times New Roman"/>
          <w:sz w:val="32"/>
          <w:szCs w:val="32"/>
          <w:u w:val="none"/>
        </w:rPr>
        <w:t>年初</w:t>
      </w:r>
      <w:r>
        <w:rPr>
          <w:rFonts w:hint="default" w:ascii="Times New Roman" w:hAnsi="Times New Roman" w:eastAsia="仿宋" w:cs="Times New Roman"/>
          <w:sz w:val="32"/>
          <w:szCs w:val="32"/>
          <w:u w:val="none"/>
        </w:rPr>
        <w:t>预算</w:t>
      </w:r>
      <w:r>
        <w:rPr>
          <w:rFonts w:hint="eastAsia" w:ascii="Times New Roman" w:hAnsi="Times New Roman" w:eastAsia="仿宋" w:cs="Times New Roman"/>
          <w:sz w:val="32"/>
          <w:szCs w:val="32"/>
          <w:u w:val="none"/>
          <w:lang w:val="en-US" w:eastAsia="zh-CN"/>
        </w:rPr>
        <w:t>498.57</w:t>
      </w:r>
      <w:r>
        <w:rPr>
          <w:rFonts w:hint="default" w:ascii="Times New Roman" w:hAnsi="Times New Roman" w:eastAsia="仿宋" w:cs="Times New Roman"/>
          <w:sz w:val="32"/>
          <w:szCs w:val="32"/>
          <w:u w:val="none"/>
        </w:rPr>
        <w:t>万元，其中：工资福利支出</w:t>
      </w:r>
      <w:r>
        <w:rPr>
          <w:rFonts w:hint="eastAsia" w:ascii="Times New Roman" w:hAnsi="Times New Roman" w:eastAsia="仿宋" w:cs="Times New Roman"/>
          <w:sz w:val="32"/>
          <w:szCs w:val="32"/>
          <w:u w:val="none"/>
          <w:lang w:val="en-US" w:eastAsia="zh-CN"/>
        </w:rPr>
        <w:t>367.15</w:t>
      </w:r>
      <w:r>
        <w:rPr>
          <w:rFonts w:hint="default" w:ascii="Times New Roman" w:hAnsi="Times New Roman" w:eastAsia="仿宋" w:cs="Times New Roman"/>
          <w:sz w:val="32"/>
          <w:szCs w:val="32"/>
          <w:u w:val="none"/>
        </w:rPr>
        <w:t>万元、一般商品和服务支出</w:t>
      </w:r>
      <w:r>
        <w:rPr>
          <w:rFonts w:hint="eastAsia" w:ascii="Times New Roman" w:hAnsi="Times New Roman" w:eastAsia="仿宋" w:cs="Times New Roman"/>
          <w:sz w:val="32"/>
          <w:szCs w:val="32"/>
          <w:u w:val="none"/>
          <w:lang w:val="en-US" w:eastAsia="zh-CN"/>
        </w:rPr>
        <w:t>90.82</w:t>
      </w:r>
      <w:r>
        <w:rPr>
          <w:rFonts w:hint="default" w:ascii="Times New Roman" w:hAnsi="Times New Roman" w:eastAsia="仿宋" w:cs="Times New Roman"/>
          <w:sz w:val="32"/>
          <w:szCs w:val="32"/>
          <w:u w:val="none"/>
        </w:rPr>
        <w:t>万元、对个人和家庭补助</w:t>
      </w:r>
      <w:r>
        <w:rPr>
          <w:rFonts w:hint="eastAsia" w:ascii="Times New Roman" w:hAnsi="Times New Roman" w:eastAsia="仿宋" w:cs="Times New Roman"/>
          <w:sz w:val="32"/>
          <w:szCs w:val="32"/>
          <w:u w:val="none"/>
          <w:lang w:val="en-US" w:eastAsia="zh-CN"/>
        </w:rPr>
        <w:t>40.6</w:t>
      </w:r>
      <w:r>
        <w:rPr>
          <w:rFonts w:hint="default" w:ascii="Times New Roman" w:hAnsi="Times New Roman" w:eastAsia="仿宋" w:cs="Times New Roman"/>
          <w:sz w:val="32"/>
          <w:szCs w:val="32"/>
          <w:u w:val="none"/>
        </w:rPr>
        <w:t>万元。上年结转</w:t>
      </w:r>
      <w:r>
        <w:rPr>
          <w:rFonts w:hint="eastAsia" w:ascii="Times New Roman" w:hAnsi="Times New Roman" w:eastAsia="仿宋" w:cs="Times New Roman"/>
          <w:sz w:val="32"/>
          <w:szCs w:val="32"/>
          <w:u w:val="none"/>
          <w:lang w:val="en-US" w:eastAsia="zh-CN"/>
        </w:rPr>
        <w:t>72.42</w:t>
      </w:r>
      <w:r>
        <w:rPr>
          <w:rFonts w:hint="default" w:ascii="Times New Roman" w:hAnsi="Times New Roman" w:eastAsia="仿宋" w:cs="Times New Roman"/>
          <w:sz w:val="32"/>
          <w:szCs w:val="32"/>
          <w:u w:val="none"/>
        </w:rPr>
        <w:t>万</w:t>
      </w:r>
      <w:r>
        <w:rPr>
          <w:rFonts w:hint="default" w:ascii="Times New Roman" w:hAnsi="Times New Roman" w:eastAsia="仿宋" w:cs="Times New Roman"/>
          <w:sz w:val="32"/>
          <w:szCs w:val="32"/>
          <w:u w:val="none"/>
        </w:rPr>
        <w:t>元</w:t>
      </w:r>
      <w:r>
        <w:rPr>
          <w:rFonts w:hint="eastAsia" w:ascii="Times New Roman" w:hAnsi="Times New Roman" w:eastAsia="仿宋" w:cs="Times New Roman"/>
          <w:sz w:val="32"/>
          <w:szCs w:val="32"/>
          <w:u w:val="none"/>
        </w:rPr>
        <w:t>，</w:t>
      </w:r>
      <w:r>
        <w:rPr>
          <w:rFonts w:hint="default" w:ascii="Times New Roman" w:hAnsi="Times New Roman" w:eastAsia="仿宋" w:cs="Times New Roman"/>
          <w:sz w:val="32"/>
          <w:szCs w:val="32"/>
          <w:u w:val="none"/>
        </w:rPr>
        <w:t>年内调整预算</w:t>
      </w:r>
      <w:r>
        <w:rPr>
          <w:rFonts w:hint="eastAsia" w:ascii="Times New Roman" w:hAnsi="Times New Roman" w:eastAsia="仿宋" w:cs="Times New Roman"/>
          <w:sz w:val="32"/>
          <w:szCs w:val="32"/>
          <w:u w:val="none"/>
          <w:lang w:val="en-US" w:eastAsia="zh-CN"/>
        </w:rPr>
        <w:t>57.8</w:t>
      </w:r>
      <w:r>
        <w:rPr>
          <w:rFonts w:hint="default" w:ascii="Times New Roman" w:hAnsi="Times New Roman" w:eastAsia="仿宋" w:cs="Times New Roman"/>
          <w:sz w:val="32"/>
          <w:szCs w:val="32"/>
          <w:u w:val="none"/>
        </w:rPr>
        <w:t>万元</w:t>
      </w:r>
      <w:r>
        <w:rPr>
          <w:rFonts w:hint="default" w:ascii="Times New Roman" w:hAnsi="Times New Roman" w:eastAsia="仿宋" w:cs="Times New Roman"/>
          <w:sz w:val="32"/>
          <w:szCs w:val="32"/>
          <w:u w:val="none"/>
        </w:rPr>
        <w:t>，全年可执行预算</w:t>
      </w:r>
      <w:r>
        <w:rPr>
          <w:rFonts w:hint="eastAsia" w:ascii="Times New Roman" w:hAnsi="Times New Roman" w:eastAsia="仿宋" w:cs="Times New Roman"/>
          <w:sz w:val="32"/>
          <w:szCs w:val="32"/>
          <w:u w:val="none"/>
        </w:rPr>
        <w:t>合计</w:t>
      </w:r>
      <w:r>
        <w:rPr>
          <w:rFonts w:hint="eastAsia" w:ascii="Times New Roman" w:hAnsi="Times New Roman" w:eastAsia="仿宋" w:cs="Times New Roman"/>
          <w:sz w:val="32"/>
          <w:szCs w:val="32"/>
          <w:u w:val="none"/>
          <w:lang w:val="en-US" w:eastAsia="zh-CN"/>
        </w:rPr>
        <w:t>628.79</w:t>
      </w:r>
      <w:r>
        <w:rPr>
          <w:rFonts w:hint="default" w:ascii="Times New Roman" w:hAnsi="Times New Roman" w:eastAsia="仿宋" w:cs="Times New Roman"/>
          <w:sz w:val="32"/>
          <w:szCs w:val="32"/>
          <w:u w:val="none"/>
        </w:rPr>
        <w:t>万元</w:t>
      </w:r>
      <w:r>
        <w:rPr>
          <w:rFonts w:hint="eastAsia" w:ascii="Times New Roman" w:hAnsi="Times New Roman" w:eastAsia="仿宋" w:cs="Times New Roman"/>
          <w:sz w:val="32"/>
          <w:szCs w:val="32"/>
          <w:u w:val="none"/>
          <w:lang w:eastAsia="zh-CN"/>
        </w:rPr>
        <w:t>。</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Times New Roman" w:hAnsi="Times New Roman" w:eastAsia="仿宋" w:cs="Times New Roman"/>
          <w:color w:val="FF0000"/>
          <w:sz w:val="32"/>
          <w:szCs w:val="32"/>
          <w:lang w:eastAsia="zh-CN"/>
        </w:rPr>
      </w:pPr>
      <w:r>
        <w:rPr>
          <w:rFonts w:hint="eastAsia" w:ascii="Times New Roman" w:hAnsi="Times New Roman" w:eastAsia="仿宋" w:cs="Times New Roman"/>
          <w:sz w:val="32"/>
          <w:szCs w:val="32"/>
          <w:u w:val="none"/>
          <w:lang w:val="en-US" w:eastAsia="zh-CN"/>
        </w:rPr>
        <w:t>2020</w:t>
      </w:r>
      <w:r>
        <w:rPr>
          <w:rFonts w:hint="default" w:ascii="Times New Roman" w:hAnsi="Times New Roman" w:eastAsia="仿宋" w:cs="Times New Roman"/>
          <w:sz w:val="32"/>
          <w:szCs w:val="32"/>
          <w:u w:val="none"/>
        </w:rPr>
        <w:t>年基本支出决算</w:t>
      </w:r>
      <w:r>
        <w:rPr>
          <w:rFonts w:hint="eastAsia" w:ascii="Times New Roman" w:hAnsi="Times New Roman" w:eastAsia="仿宋" w:cs="Times New Roman"/>
          <w:sz w:val="32"/>
          <w:szCs w:val="32"/>
          <w:u w:val="none"/>
          <w:lang w:val="en-US" w:eastAsia="zh-CN"/>
        </w:rPr>
        <w:t>625.6</w:t>
      </w:r>
      <w:r>
        <w:rPr>
          <w:rFonts w:hint="default" w:ascii="Times New Roman" w:hAnsi="Times New Roman" w:eastAsia="仿宋" w:cs="Times New Roman"/>
          <w:sz w:val="32"/>
          <w:szCs w:val="32"/>
          <w:u w:val="none"/>
        </w:rPr>
        <w:t>万元，其中：工资福利支出</w:t>
      </w:r>
      <w:r>
        <w:rPr>
          <w:rFonts w:hint="eastAsia" w:ascii="Times New Roman" w:hAnsi="Times New Roman" w:eastAsia="仿宋" w:cs="Times New Roman"/>
          <w:sz w:val="32"/>
          <w:szCs w:val="32"/>
          <w:u w:val="none"/>
          <w:lang w:val="en-US" w:eastAsia="zh-CN"/>
        </w:rPr>
        <w:t>471.43</w:t>
      </w:r>
      <w:r>
        <w:rPr>
          <w:rFonts w:hint="default" w:ascii="Times New Roman" w:hAnsi="Times New Roman" w:eastAsia="仿宋" w:cs="Times New Roman"/>
          <w:sz w:val="32"/>
          <w:szCs w:val="32"/>
          <w:u w:val="none"/>
        </w:rPr>
        <w:t>万元、一般商品和服务支出</w:t>
      </w:r>
      <w:r>
        <w:rPr>
          <w:rFonts w:hint="eastAsia" w:ascii="Times New Roman" w:hAnsi="Times New Roman" w:eastAsia="仿宋" w:cs="Times New Roman"/>
          <w:sz w:val="32"/>
          <w:szCs w:val="32"/>
          <w:u w:val="none"/>
          <w:lang w:val="en-US" w:eastAsia="zh-CN"/>
        </w:rPr>
        <w:t>79</w:t>
      </w:r>
      <w:bookmarkStart w:id="1" w:name="_GoBack"/>
      <w:bookmarkEnd w:id="1"/>
      <w:r>
        <w:rPr>
          <w:rFonts w:hint="eastAsia" w:ascii="Times New Roman" w:hAnsi="Times New Roman" w:eastAsia="仿宋" w:cs="Times New Roman"/>
          <w:sz w:val="32"/>
          <w:szCs w:val="32"/>
          <w:u w:val="none"/>
          <w:lang w:val="en-US" w:eastAsia="zh-CN"/>
        </w:rPr>
        <w:t>.87</w:t>
      </w:r>
      <w:r>
        <w:rPr>
          <w:rFonts w:hint="default" w:ascii="Times New Roman" w:hAnsi="Times New Roman" w:eastAsia="仿宋" w:cs="Times New Roman"/>
          <w:sz w:val="32"/>
          <w:szCs w:val="32"/>
          <w:u w:val="none"/>
        </w:rPr>
        <w:t>万元、对个人和家庭补助</w:t>
      </w:r>
      <w:r>
        <w:rPr>
          <w:rFonts w:hint="eastAsia" w:ascii="Times New Roman" w:hAnsi="Times New Roman" w:eastAsia="仿宋" w:cs="Times New Roman"/>
          <w:sz w:val="32"/>
          <w:szCs w:val="32"/>
          <w:u w:val="none"/>
          <w:lang w:val="en-US" w:eastAsia="zh-CN"/>
        </w:rPr>
        <w:t>65.1</w:t>
      </w:r>
      <w:r>
        <w:rPr>
          <w:rFonts w:hint="default" w:ascii="Times New Roman" w:hAnsi="Times New Roman" w:eastAsia="仿宋" w:cs="Times New Roman"/>
          <w:sz w:val="32"/>
          <w:szCs w:val="32"/>
          <w:u w:val="none"/>
        </w:rPr>
        <w:t>万元</w:t>
      </w:r>
      <w:r>
        <w:rPr>
          <w:rFonts w:hint="eastAsia" w:ascii="Times New Roman" w:hAnsi="Times New Roman" w:eastAsia="仿宋" w:cs="Times New Roman"/>
          <w:sz w:val="32"/>
          <w:szCs w:val="32"/>
          <w:u w:val="none"/>
          <w:lang w:eastAsia="zh-CN"/>
        </w:rPr>
        <w:t>、</w:t>
      </w:r>
      <w:r>
        <w:rPr>
          <w:rFonts w:hint="eastAsia" w:ascii="Times New Roman" w:hAnsi="Times New Roman" w:eastAsia="仿宋" w:cs="Times New Roman"/>
          <w:sz w:val="32"/>
          <w:szCs w:val="32"/>
          <w:u w:val="none"/>
          <w:lang w:val="en-US" w:eastAsia="zh-CN"/>
        </w:rPr>
        <w:t>资本性支出9.2万元</w:t>
      </w:r>
      <w:r>
        <w:rPr>
          <w:rFonts w:hint="eastAsia" w:ascii="Times New Roman" w:hAnsi="Times New Roman" w:eastAsia="仿宋" w:cs="Times New Roman"/>
          <w:sz w:val="32"/>
          <w:szCs w:val="32"/>
          <w:u w:val="none"/>
        </w:rPr>
        <w:t>。年末结转</w:t>
      </w:r>
      <w:r>
        <w:rPr>
          <w:rFonts w:hint="eastAsia" w:ascii="Times New Roman" w:hAnsi="Times New Roman" w:eastAsia="仿宋" w:cs="Times New Roman"/>
          <w:sz w:val="32"/>
          <w:szCs w:val="32"/>
          <w:u w:val="none"/>
          <w:lang w:val="en-US" w:eastAsia="zh-CN"/>
        </w:rPr>
        <w:t>结余3.19</w:t>
      </w:r>
      <w:r>
        <w:rPr>
          <w:rFonts w:hint="eastAsia" w:ascii="Times New Roman" w:hAnsi="Times New Roman" w:eastAsia="仿宋" w:cs="Times New Roman"/>
          <w:sz w:val="32"/>
          <w:szCs w:val="32"/>
          <w:u w:val="none"/>
        </w:rPr>
        <w:t>万元</w:t>
      </w:r>
      <w:r>
        <w:rPr>
          <w:rFonts w:hint="eastAsia" w:ascii="Times New Roman" w:hAnsi="Times New Roman" w:eastAsia="仿宋" w:cs="Times New Roman"/>
          <w:sz w:val="32"/>
          <w:szCs w:val="32"/>
          <w:u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eastAsia" w:ascii="Times New Roman" w:hAnsi="Times New Roman" w:eastAsia="仿宋" w:cs="Times New Roman"/>
          <w:color w:val="FF0000"/>
          <w:sz w:val="32"/>
          <w:szCs w:val="32"/>
          <w:lang w:eastAsia="zh-CN"/>
        </w:rPr>
      </w:pPr>
      <w:r>
        <w:rPr>
          <w:rFonts w:hint="default" w:ascii="Times New Roman" w:hAnsi="Times New Roman" w:eastAsia="仿宋" w:cs="Times New Roman"/>
          <w:sz w:val="32"/>
          <w:szCs w:val="32"/>
        </w:rPr>
        <w:t>2.基本支出决算与预算数、上年数对比情况</w:t>
      </w:r>
    </w:p>
    <w:p>
      <w:pPr>
        <w:keepNext w:val="0"/>
        <w:keepLines w:val="0"/>
        <w:pageBreakBefore w:val="0"/>
        <w:kinsoku/>
        <w:wordWrap/>
        <w:overflowPunct/>
        <w:topLinePunct w:val="0"/>
        <w:autoSpaceDE/>
        <w:autoSpaceDN/>
        <w:bidi w:val="0"/>
        <w:adjustRightInd/>
        <w:spacing w:line="560" w:lineRule="exact"/>
        <w:ind w:firstLine="480" w:firstLineChars="200"/>
        <w:jc w:val="right"/>
        <w:rPr>
          <w:rFonts w:hint="eastAsia" w:ascii="仿宋" w:hAnsi="仿宋" w:eastAsia="仿宋" w:cs="仿宋"/>
          <w:sz w:val="24"/>
          <w:szCs w:val="24"/>
        </w:rPr>
      </w:pPr>
      <w:r>
        <w:rPr>
          <w:rFonts w:hint="eastAsia" w:ascii="仿宋" w:hAnsi="仿宋" w:eastAsia="仿宋" w:cs="仿宋"/>
          <w:sz w:val="24"/>
          <w:szCs w:val="24"/>
        </w:rPr>
        <w:t>金额单位：万元</w:t>
      </w:r>
    </w:p>
    <w:tbl>
      <w:tblPr>
        <w:tblStyle w:val="5"/>
        <w:tblW w:w="5377" w:type="pct"/>
        <w:jc w:val="center"/>
        <w:tblLayout w:type="fixed"/>
        <w:tblCellMar>
          <w:top w:w="0" w:type="dxa"/>
          <w:left w:w="108" w:type="dxa"/>
          <w:bottom w:w="0" w:type="dxa"/>
          <w:right w:w="108" w:type="dxa"/>
        </w:tblCellMar>
      </w:tblPr>
      <w:tblGrid>
        <w:gridCol w:w="576"/>
        <w:gridCol w:w="1912"/>
        <w:gridCol w:w="982"/>
        <w:gridCol w:w="992"/>
        <w:gridCol w:w="1025"/>
        <w:gridCol w:w="1179"/>
        <w:gridCol w:w="1174"/>
        <w:gridCol w:w="975"/>
        <w:gridCol w:w="1051"/>
      </w:tblGrid>
      <w:tr>
        <w:tblPrEx>
          <w:tblCellMar>
            <w:top w:w="0" w:type="dxa"/>
            <w:left w:w="108" w:type="dxa"/>
            <w:bottom w:w="0" w:type="dxa"/>
            <w:right w:w="108" w:type="dxa"/>
          </w:tblCellMar>
        </w:tblPrEx>
        <w:trPr>
          <w:trHeight w:val="750" w:hRule="atLeast"/>
          <w:tblHeader/>
          <w:jc w:val="center"/>
        </w:trPr>
        <w:tc>
          <w:tcPr>
            <w:tcW w:w="291"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序号</w:t>
            </w:r>
          </w:p>
        </w:tc>
        <w:tc>
          <w:tcPr>
            <w:tcW w:w="968"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项目</w:t>
            </w:r>
          </w:p>
        </w:tc>
        <w:tc>
          <w:tcPr>
            <w:tcW w:w="49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eastAsia="zh-CN"/>
              </w:rPr>
              <w:t>19</w:t>
            </w:r>
            <w:r>
              <w:rPr>
                <w:rFonts w:hint="default" w:ascii="Times New Roman" w:hAnsi="Times New Roman" w:eastAsia="仿宋" w:cs="Times New Roman"/>
                <w:kern w:val="0"/>
                <w:sz w:val="24"/>
                <w:szCs w:val="24"/>
              </w:rPr>
              <w:t>年</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决算</w:t>
            </w:r>
          </w:p>
        </w:tc>
        <w:tc>
          <w:tcPr>
            <w:tcW w:w="50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eastAsia="zh-CN"/>
              </w:rPr>
              <w:t>20</w:t>
            </w:r>
            <w:r>
              <w:rPr>
                <w:rFonts w:hint="default" w:ascii="Times New Roman" w:hAnsi="Times New Roman" w:eastAsia="仿宋" w:cs="Times New Roman"/>
                <w:kern w:val="0"/>
                <w:sz w:val="24"/>
                <w:szCs w:val="24"/>
              </w:rPr>
              <w:t>年</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初预算</w:t>
            </w:r>
          </w:p>
        </w:tc>
        <w:tc>
          <w:tcPr>
            <w:tcW w:w="519"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eastAsia="zh-CN"/>
              </w:rPr>
              <w:t>20</w:t>
            </w:r>
            <w:r>
              <w:rPr>
                <w:rFonts w:hint="default" w:ascii="Times New Roman" w:hAnsi="Times New Roman" w:eastAsia="仿宋" w:cs="Times New Roman"/>
                <w:kern w:val="0"/>
                <w:sz w:val="24"/>
                <w:szCs w:val="24"/>
              </w:rPr>
              <w:t>年决算</w:t>
            </w:r>
          </w:p>
        </w:tc>
        <w:tc>
          <w:tcPr>
            <w:tcW w:w="1192"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eastAsia="zh-CN"/>
              </w:rPr>
              <w:t>20</w:t>
            </w:r>
            <w:r>
              <w:rPr>
                <w:rFonts w:hint="default" w:ascii="Times New Roman" w:hAnsi="Times New Roman" w:eastAsia="仿宋" w:cs="Times New Roman"/>
                <w:kern w:val="0"/>
                <w:sz w:val="24"/>
                <w:szCs w:val="24"/>
              </w:rPr>
              <w:t>年决算较年初预算增+（减-）</w:t>
            </w:r>
          </w:p>
        </w:tc>
        <w:tc>
          <w:tcPr>
            <w:tcW w:w="1026"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w:t>
            </w:r>
            <w:r>
              <w:rPr>
                <w:rFonts w:hint="default" w:ascii="Times New Roman" w:hAnsi="Times New Roman" w:eastAsia="仿宋" w:cs="Times New Roman"/>
                <w:kern w:val="0"/>
                <w:sz w:val="24"/>
                <w:szCs w:val="24"/>
                <w:lang w:val="en-US" w:eastAsia="zh-CN"/>
              </w:rPr>
              <w:t>20</w:t>
            </w:r>
            <w:r>
              <w:rPr>
                <w:rFonts w:hint="default" w:ascii="Times New Roman" w:hAnsi="Times New Roman" w:eastAsia="仿宋" w:cs="Times New Roman"/>
                <w:kern w:val="0"/>
                <w:sz w:val="24"/>
                <w:szCs w:val="24"/>
              </w:rPr>
              <w:t>年决算较上年决算增+（减-）</w:t>
            </w:r>
          </w:p>
        </w:tc>
      </w:tr>
      <w:tr>
        <w:tblPrEx>
          <w:tblCellMar>
            <w:top w:w="0" w:type="dxa"/>
            <w:left w:w="108" w:type="dxa"/>
            <w:bottom w:w="0" w:type="dxa"/>
            <w:right w:w="108" w:type="dxa"/>
          </w:tblCellMar>
        </w:tblPrEx>
        <w:trPr>
          <w:trHeight w:val="458" w:hRule="atLeast"/>
          <w:tblHeader/>
          <w:jc w:val="center"/>
        </w:trPr>
        <w:tc>
          <w:tcPr>
            <w:tcW w:w="291"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c>
          <w:tcPr>
            <w:tcW w:w="968"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c>
          <w:tcPr>
            <w:tcW w:w="49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rPr>
                <w:rFonts w:hint="default" w:ascii="Times New Roman" w:hAnsi="Times New Roman" w:eastAsia="仿宋" w:cs="Times New Roman"/>
                <w:kern w:val="0"/>
                <w:sz w:val="24"/>
                <w:szCs w:val="24"/>
              </w:rPr>
            </w:pPr>
          </w:p>
        </w:tc>
        <w:tc>
          <w:tcPr>
            <w:tcW w:w="50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c>
          <w:tcPr>
            <w:tcW w:w="519"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c>
          <w:tcPr>
            <w:tcW w:w="597"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金额</w:t>
            </w:r>
          </w:p>
        </w:tc>
        <w:tc>
          <w:tcPr>
            <w:tcW w:w="59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比例</w:t>
            </w:r>
          </w:p>
        </w:tc>
        <w:tc>
          <w:tcPr>
            <w:tcW w:w="494"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金额</w:t>
            </w:r>
          </w:p>
        </w:tc>
        <w:tc>
          <w:tcPr>
            <w:tcW w:w="532"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比例</w:t>
            </w:r>
          </w:p>
        </w:tc>
      </w:tr>
      <w:tr>
        <w:tblPrEx>
          <w:tblCellMar>
            <w:top w:w="0" w:type="dxa"/>
            <w:left w:w="108" w:type="dxa"/>
            <w:bottom w:w="0" w:type="dxa"/>
            <w:right w:w="108" w:type="dxa"/>
          </w:tblCellMar>
        </w:tblPrEx>
        <w:trPr>
          <w:trHeight w:val="458" w:hRule="atLeast"/>
          <w:jc w:val="center"/>
        </w:trPr>
        <w:tc>
          <w:tcPr>
            <w:tcW w:w="291"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968"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工资福利支出</w:t>
            </w:r>
          </w:p>
        </w:tc>
        <w:tc>
          <w:tcPr>
            <w:tcW w:w="497"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406.71</w:t>
            </w:r>
          </w:p>
        </w:tc>
        <w:tc>
          <w:tcPr>
            <w:tcW w:w="5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367.15</w:t>
            </w:r>
          </w:p>
        </w:tc>
        <w:tc>
          <w:tcPr>
            <w:tcW w:w="519"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471.43</w:t>
            </w:r>
          </w:p>
        </w:tc>
        <w:tc>
          <w:tcPr>
            <w:tcW w:w="597"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104.28</w:t>
            </w:r>
          </w:p>
        </w:tc>
        <w:tc>
          <w:tcPr>
            <w:tcW w:w="594"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28.4%</w:t>
            </w:r>
          </w:p>
        </w:tc>
        <w:tc>
          <w:tcPr>
            <w:tcW w:w="494"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64.72</w:t>
            </w:r>
          </w:p>
        </w:tc>
        <w:tc>
          <w:tcPr>
            <w:tcW w:w="532" w:type="pct"/>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15.91%</w:t>
            </w:r>
          </w:p>
        </w:tc>
      </w:tr>
      <w:tr>
        <w:tblPrEx>
          <w:tblCellMar>
            <w:top w:w="0" w:type="dxa"/>
            <w:left w:w="108" w:type="dxa"/>
            <w:bottom w:w="0" w:type="dxa"/>
            <w:right w:w="108" w:type="dxa"/>
          </w:tblCellMar>
        </w:tblPrEx>
        <w:trPr>
          <w:trHeight w:val="458" w:hRule="atLeast"/>
          <w:jc w:val="center"/>
        </w:trPr>
        <w:tc>
          <w:tcPr>
            <w:tcW w:w="2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9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一般商品和服务支出</w:t>
            </w:r>
          </w:p>
        </w:tc>
        <w:tc>
          <w:tcPr>
            <w:tcW w:w="4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170.74</w:t>
            </w:r>
          </w:p>
        </w:tc>
        <w:tc>
          <w:tcPr>
            <w:tcW w:w="5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90.82</w:t>
            </w:r>
          </w:p>
        </w:tc>
        <w:tc>
          <w:tcPr>
            <w:tcW w:w="5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79.87</w:t>
            </w:r>
          </w:p>
        </w:tc>
        <w:tc>
          <w:tcPr>
            <w:tcW w:w="5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-10.95</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-12.05%</w:t>
            </w:r>
          </w:p>
        </w:tc>
        <w:tc>
          <w:tcPr>
            <w:tcW w:w="4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highlight w:val="cyan"/>
                <w:lang w:val="en-US" w:eastAsia="zh-CN"/>
              </w:rPr>
              <w:t>-90.87</w:t>
            </w:r>
          </w:p>
        </w:tc>
        <w:tc>
          <w:tcPr>
            <w:tcW w:w="5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highlight w:val="cyan"/>
                <w:lang w:val="en-US" w:eastAsia="zh-CN"/>
              </w:rPr>
              <w:t>53.22%</w:t>
            </w:r>
          </w:p>
        </w:tc>
      </w:tr>
      <w:tr>
        <w:tblPrEx>
          <w:tblCellMar>
            <w:top w:w="0" w:type="dxa"/>
            <w:left w:w="108" w:type="dxa"/>
            <w:bottom w:w="0" w:type="dxa"/>
            <w:right w:w="108" w:type="dxa"/>
          </w:tblCellMar>
        </w:tblPrEx>
        <w:trPr>
          <w:trHeight w:val="458" w:hRule="atLeast"/>
          <w:jc w:val="center"/>
        </w:trPr>
        <w:tc>
          <w:tcPr>
            <w:tcW w:w="2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9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对个人和家庭补助</w:t>
            </w:r>
          </w:p>
        </w:tc>
        <w:tc>
          <w:tcPr>
            <w:tcW w:w="4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59.58</w:t>
            </w:r>
          </w:p>
        </w:tc>
        <w:tc>
          <w:tcPr>
            <w:tcW w:w="5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40.6</w:t>
            </w:r>
          </w:p>
        </w:tc>
        <w:tc>
          <w:tcPr>
            <w:tcW w:w="5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65.1</w:t>
            </w:r>
          </w:p>
        </w:tc>
        <w:tc>
          <w:tcPr>
            <w:tcW w:w="5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24.5</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60.34%</w:t>
            </w:r>
          </w:p>
        </w:tc>
        <w:tc>
          <w:tcPr>
            <w:tcW w:w="4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-35.08</w:t>
            </w:r>
          </w:p>
        </w:tc>
        <w:tc>
          <w:tcPr>
            <w:tcW w:w="5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-58.87%</w:t>
            </w:r>
          </w:p>
        </w:tc>
      </w:tr>
      <w:tr>
        <w:tblPrEx>
          <w:tblCellMar>
            <w:top w:w="0" w:type="dxa"/>
            <w:left w:w="108" w:type="dxa"/>
            <w:bottom w:w="0" w:type="dxa"/>
            <w:right w:w="108" w:type="dxa"/>
          </w:tblCellMar>
        </w:tblPrEx>
        <w:trPr>
          <w:trHeight w:val="458" w:hRule="atLeast"/>
          <w:jc w:val="center"/>
        </w:trPr>
        <w:tc>
          <w:tcPr>
            <w:tcW w:w="2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w:t>
            </w:r>
          </w:p>
        </w:tc>
        <w:tc>
          <w:tcPr>
            <w:tcW w:w="9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资本性支出</w:t>
            </w:r>
          </w:p>
        </w:tc>
        <w:tc>
          <w:tcPr>
            <w:tcW w:w="4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33.42</w:t>
            </w:r>
          </w:p>
        </w:tc>
        <w:tc>
          <w:tcPr>
            <w:tcW w:w="5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0</w:t>
            </w:r>
          </w:p>
        </w:tc>
        <w:tc>
          <w:tcPr>
            <w:tcW w:w="5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9.2</w:t>
            </w:r>
          </w:p>
        </w:tc>
        <w:tc>
          <w:tcPr>
            <w:tcW w:w="5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9.2</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100%</w:t>
            </w:r>
          </w:p>
        </w:tc>
        <w:tc>
          <w:tcPr>
            <w:tcW w:w="4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-24.22</w:t>
            </w:r>
          </w:p>
        </w:tc>
        <w:tc>
          <w:tcPr>
            <w:tcW w:w="5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-72.47%</w:t>
            </w:r>
          </w:p>
        </w:tc>
      </w:tr>
      <w:tr>
        <w:tblPrEx>
          <w:tblCellMar>
            <w:top w:w="0" w:type="dxa"/>
            <w:left w:w="108" w:type="dxa"/>
            <w:bottom w:w="0" w:type="dxa"/>
            <w:right w:w="108" w:type="dxa"/>
          </w:tblCellMar>
        </w:tblPrEx>
        <w:trPr>
          <w:trHeight w:val="458" w:hRule="atLeast"/>
          <w:jc w:val="center"/>
        </w:trPr>
        <w:tc>
          <w:tcPr>
            <w:tcW w:w="29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p>
        </w:tc>
        <w:tc>
          <w:tcPr>
            <w:tcW w:w="96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合计</w:t>
            </w:r>
          </w:p>
        </w:tc>
        <w:tc>
          <w:tcPr>
            <w:tcW w:w="4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670.45</w:t>
            </w:r>
          </w:p>
        </w:tc>
        <w:tc>
          <w:tcPr>
            <w:tcW w:w="5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498.57</w:t>
            </w:r>
          </w:p>
        </w:tc>
        <w:tc>
          <w:tcPr>
            <w:tcW w:w="5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625.6</w:t>
            </w:r>
          </w:p>
        </w:tc>
        <w:tc>
          <w:tcPr>
            <w:tcW w:w="5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highlight w:val="cyan"/>
                <w:lang w:val="en-US" w:eastAsia="zh-CN"/>
              </w:rPr>
            </w:pPr>
            <w:r>
              <w:rPr>
                <w:rFonts w:hint="eastAsia" w:ascii="Times New Roman" w:hAnsi="Times New Roman" w:eastAsia="仿宋" w:cs="Times New Roman"/>
                <w:sz w:val="24"/>
                <w:szCs w:val="24"/>
                <w:highlight w:val="cyan"/>
                <w:lang w:val="en-US" w:eastAsia="zh-CN"/>
              </w:rPr>
              <w:t>127.03</w:t>
            </w:r>
          </w:p>
        </w:tc>
        <w:tc>
          <w:tcPr>
            <w:tcW w:w="5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eastAsia" w:ascii="Times New Roman" w:hAnsi="Times New Roman" w:eastAsia="仿宋" w:cs="Times New Roman"/>
                <w:sz w:val="24"/>
                <w:szCs w:val="24"/>
                <w:highlight w:val="cyan"/>
                <w:lang w:val="en-US" w:eastAsia="zh-CN"/>
              </w:rPr>
            </w:pPr>
            <w:r>
              <w:rPr>
                <w:rFonts w:hint="eastAsia" w:ascii="Times New Roman" w:hAnsi="Times New Roman" w:eastAsia="仿宋" w:cs="Times New Roman"/>
                <w:sz w:val="24"/>
                <w:szCs w:val="24"/>
                <w:highlight w:val="cyan"/>
                <w:lang w:val="en-US" w:eastAsia="zh-CN"/>
              </w:rPr>
              <w:t>25.48%</w:t>
            </w:r>
          </w:p>
        </w:tc>
        <w:tc>
          <w:tcPr>
            <w:tcW w:w="49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-44.85</w:t>
            </w:r>
          </w:p>
        </w:tc>
        <w:tc>
          <w:tcPr>
            <w:tcW w:w="5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-6.69%</w:t>
            </w:r>
          </w:p>
        </w:tc>
      </w:tr>
    </w:tbl>
    <w:p>
      <w:pPr>
        <w:widowControl/>
        <w:spacing w:line="360" w:lineRule="auto"/>
        <w:ind w:firstLine="640" w:firstLineChars="200"/>
        <w:rPr>
          <w:rFonts w:hint="eastAsia" w:ascii="仿宋_GB2312" w:hAnsi="宋体" w:eastAsia="仿宋_GB2312"/>
          <w:sz w:val="32"/>
          <w:szCs w:val="32"/>
        </w:rPr>
      </w:pPr>
      <w:r>
        <w:rPr>
          <w:rFonts w:ascii="Times New Roman" w:hAnsi="Times New Roman" w:eastAsia="仿宋_GB2312" w:cs="Times New Roman"/>
          <w:sz w:val="32"/>
          <w:szCs w:val="32"/>
          <w:highlight w:val="none"/>
        </w:rPr>
        <w:t>从上表反映，20</w:t>
      </w:r>
      <w:r>
        <w:rPr>
          <w:rFonts w:hint="eastAsia" w:ascii="Times New Roman" w:hAnsi="Times New Roman" w:eastAsia="仿宋_GB2312" w:cs="Times New Roman"/>
          <w:sz w:val="32"/>
          <w:szCs w:val="32"/>
          <w:highlight w:val="none"/>
          <w:lang w:val="en-US" w:eastAsia="zh-CN"/>
        </w:rPr>
        <w:t>20</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基本支出决算625.6</w:t>
      </w:r>
      <w:r>
        <w:rPr>
          <w:rFonts w:ascii="Times New Roman" w:hAnsi="Times New Roman" w:eastAsia="仿宋_GB2312" w:cs="Times New Roman"/>
          <w:sz w:val="32"/>
          <w:szCs w:val="32"/>
          <w:highlight w:val="none"/>
        </w:rPr>
        <w:t>万元，较</w:t>
      </w:r>
      <w:r>
        <w:rPr>
          <w:rFonts w:hint="eastAsia" w:ascii="Times New Roman" w:hAnsi="Times New Roman" w:eastAsia="仿宋_GB2312" w:cs="Times New Roman"/>
          <w:sz w:val="32"/>
          <w:szCs w:val="32"/>
          <w:highlight w:val="none"/>
          <w:lang w:val="en-US" w:eastAsia="zh-CN"/>
        </w:rPr>
        <w:t>年初预算</w:t>
      </w:r>
      <w:r>
        <w:rPr>
          <w:rFonts w:hint="eastAsia" w:ascii="Times New Roman" w:hAnsi="Times New Roman" w:eastAsia="仿宋_GB2312" w:cs="Times New Roman"/>
          <w:sz w:val="32"/>
          <w:szCs w:val="32"/>
          <w:highlight w:val="none"/>
        </w:rPr>
        <w:t>增加</w:t>
      </w:r>
      <w:r>
        <w:rPr>
          <w:rFonts w:hint="eastAsia" w:ascii="Times New Roman" w:hAnsi="Times New Roman" w:eastAsia="仿宋_GB2312" w:cs="Times New Roman"/>
          <w:sz w:val="32"/>
          <w:szCs w:val="32"/>
          <w:highlight w:val="none"/>
          <w:lang w:val="en-US" w:eastAsia="zh-CN"/>
        </w:rPr>
        <w:t>127.03</w:t>
      </w:r>
      <w:r>
        <w:rPr>
          <w:rFonts w:ascii="Times New Roman" w:hAnsi="Times New Roman" w:eastAsia="仿宋_GB2312" w:cs="Times New Roman"/>
          <w:sz w:val="32"/>
          <w:szCs w:val="32"/>
          <w:highlight w:val="none"/>
        </w:rPr>
        <w:t>万元，同比</w:t>
      </w:r>
      <w:r>
        <w:rPr>
          <w:rFonts w:hint="eastAsia" w:ascii="Times New Roman" w:hAnsi="Times New Roman" w:eastAsia="仿宋_GB2312" w:cs="Times New Roman"/>
          <w:sz w:val="32"/>
          <w:szCs w:val="32"/>
          <w:highlight w:val="none"/>
        </w:rPr>
        <w:t>增加</w:t>
      </w:r>
      <w:r>
        <w:rPr>
          <w:rFonts w:hint="eastAsia" w:ascii="Times New Roman" w:hAnsi="Times New Roman" w:eastAsia="仿宋_GB2312" w:cs="Times New Roman"/>
          <w:sz w:val="32"/>
          <w:szCs w:val="32"/>
          <w:highlight w:val="none"/>
          <w:lang w:val="en-US" w:eastAsia="zh-CN"/>
        </w:rPr>
        <w:t>25.48</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主要原因为</w:t>
      </w:r>
      <w:r>
        <w:rPr>
          <w:rFonts w:hint="eastAsia" w:ascii="仿宋_GB2312" w:hAnsi="宋体" w:eastAsia="仿宋_GB2312"/>
          <w:sz w:val="32"/>
          <w:szCs w:val="32"/>
        </w:rPr>
        <w:t>单位人员调整，追加了相关经费。</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eastAsia="zh-CN"/>
        </w:rPr>
        <w:t>“三公经费”</w:t>
      </w:r>
      <w:r>
        <w:rPr>
          <w:rFonts w:hint="default" w:ascii="Times New Roman" w:hAnsi="Times New Roman" w:eastAsia="仿宋" w:cs="Times New Roman"/>
          <w:sz w:val="32"/>
          <w:szCs w:val="32"/>
        </w:rPr>
        <w:t>支出情况</w:t>
      </w:r>
    </w:p>
    <w:tbl>
      <w:tblPr>
        <w:tblStyle w:val="5"/>
        <w:tblpPr w:leftFromText="180" w:rightFromText="180" w:vertAnchor="text" w:horzAnchor="page" w:tblpX="1174" w:tblpY="429"/>
        <w:tblOverlap w:val="never"/>
        <w:tblW w:w="5378" w:type="pct"/>
        <w:tblInd w:w="0" w:type="dxa"/>
        <w:tblLayout w:type="autofit"/>
        <w:tblCellMar>
          <w:top w:w="0" w:type="dxa"/>
          <w:left w:w="108" w:type="dxa"/>
          <w:bottom w:w="0" w:type="dxa"/>
          <w:right w:w="108" w:type="dxa"/>
        </w:tblCellMar>
      </w:tblPr>
      <w:tblGrid>
        <w:gridCol w:w="555"/>
        <w:gridCol w:w="1678"/>
        <w:gridCol w:w="1082"/>
        <w:gridCol w:w="1015"/>
        <w:gridCol w:w="1009"/>
        <w:gridCol w:w="1161"/>
        <w:gridCol w:w="1171"/>
        <w:gridCol w:w="1137"/>
        <w:gridCol w:w="1058"/>
      </w:tblGrid>
      <w:tr>
        <w:tblPrEx>
          <w:tblCellMar>
            <w:top w:w="0" w:type="dxa"/>
            <w:left w:w="108" w:type="dxa"/>
            <w:bottom w:w="0" w:type="dxa"/>
            <w:right w:w="108" w:type="dxa"/>
          </w:tblCellMar>
        </w:tblPrEx>
        <w:trPr>
          <w:trHeight w:val="750" w:hRule="atLeast"/>
        </w:trPr>
        <w:tc>
          <w:tcPr>
            <w:tcW w:w="281"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序号</w:t>
            </w:r>
          </w:p>
        </w:tc>
        <w:tc>
          <w:tcPr>
            <w:tcW w:w="85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项目</w:t>
            </w:r>
          </w:p>
        </w:tc>
        <w:tc>
          <w:tcPr>
            <w:tcW w:w="548"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201</w:t>
            </w:r>
            <w:r>
              <w:rPr>
                <w:rFonts w:hint="eastAsia" w:eastAsia="仿宋" w:cs="Times New Roman"/>
                <w:kern w:val="0"/>
                <w:sz w:val="24"/>
                <w:szCs w:val="24"/>
                <w:lang w:val="en-US" w:eastAsia="zh-CN"/>
              </w:rPr>
              <w:t>9</w:t>
            </w:r>
            <w:r>
              <w:rPr>
                <w:rFonts w:hint="default" w:ascii="Times New Roman" w:hAnsi="Times New Roman" w:eastAsia="仿宋" w:cs="Times New Roman"/>
                <w:kern w:val="0"/>
                <w:sz w:val="24"/>
                <w:szCs w:val="24"/>
              </w:rPr>
              <w:t>年决算</w:t>
            </w:r>
          </w:p>
        </w:tc>
        <w:tc>
          <w:tcPr>
            <w:tcW w:w="51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w:t>
            </w:r>
            <w:r>
              <w:rPr>
                <w:rFonts w:hint="eastAsia" w:ascii="Times New Roman" w:hAnsi="Times New Roman" w:eastAsia="仿宋" w:cs="Times New Roman"/>
                <w:kern w:val="0"/>
                <w:sz w:val="24"/>
                <w:szCs w:val="24"/>
                <w:lang w:val="en-US" w:eastAsia="zh-CN"/>
              </w:rPr>
              <w:t>20</w:t>
            </w:r>
            <w:r>
              <w:rPr>
                <w:rFonts w:hint="default" w:ascii="Times New Roman" w:hAnsi="Times New Roman" w:eastAsia="仿宋" w:cs="Times New Roman"/>
                <w:kern w:val="0"/>
                <w:sz w:val="24"/>
                <w:szCs w:val="24"/>
              </w:rPr>
              <w:t>年预算</w:t>
            </w:r>
          </w:p>
        </w:tc>
        <w:tc>
          <w:tcPr>
            <w:tcW w:w="511"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w:t>
            </w:r>
            <w:r>
              <w:rPr>
                <w:rFonts w:hint="eastAsia" w:ascii="Times New Roman" w:hAnsi="Times New Roman" w:eastAsia="仿宋" w:cs="Times New Roman"/>
                <w:kern w:val="0"/>
                <w:sz w:val="24"/>
                <w:szCs w:val="24"/>
                <w:lang w:val="en-US" w:eastAsia="zh-CN"/>
              </w:rPr>
              <w:t>20</w:t>
            </w:r>
            <w:r>
              <w:rPr>
                <w:rFonts w:hint="default" w:ascii="Times New Roman" w:hAnsi="Times New Roman" w:eastAsia="仿宋" w:cs="Times New Roman"/>
                <w:kern w:val="0"/>
                <w:sz w:val="24"/>
                <w:szCs w:val="24"/>
              </w:rPr>
              <w:t>年决算</w:t>
            </w:r>
          </w:p>
        </w:tc>
        <w:tc>
          <w:tcPr>
            <w:tcW w:w="1181"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w:t>
            </w:r>
            <w:r>
              <w:rPr>
                <w:rFonts w:hint="eastAsia" w:ascii="Times New Roman" w:hAnsi="Times New Roman" w:eastAsia="仿宋" w:cs="Times New Roman"/>
                <w:kern w:val="0"/>
                <w:sz w:val="24"/>
                <w:szCs w:val="24"/>
                <w:lang w:val="en-US" w:eastAsia="zh-CN"/>
              </w:rPr>
              <w:t>20</w:t>
            </w:r>
            <w:r>
              <w:rPr>
                <w:rFonts w:hint="default" w:ascii="Times New Roman" w:hAnsi="Times New Roman" w:eastAsia="仿宋" w:cs="Times New Roman"/>
                <w:kern w:val="0"/>
                <w:sz w:val="24"/>
                <w:szCs w:val="24"/>
              </w:rPr>
              <w:t>年决算较年初预算增+（减-）</w:t>
            </w:r>
          </w:p>
        </w:tc>
        <w:tc>
          <w:tcPr>
            <w:tcW w:w="1112"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20</w:t>
            </w:r>
            <w:r>
              <w:rPr>
                <w:rFonts w:hint="eastAsia" w:ascii="Times New Roman" w:hAnsi="Times New Roman" w:eastAsia="仿宋" w:cs="Times New Roman"/>
                <w:kern w:val="0"/>
                <w:sz w:val="24"/>
                <w:szCs w:val="24"/>
                <w:lang w:val="en-US" w:eastAsia="zh-CN"/>
              </w:rPr>
              <w:t>20</w:t>
            </w:r>
            <w:r>
              <w:rPr>
                <w:rFonts w:hint="default" w:ascii="Times New Roman" w:hAnsi="Times New Roman" w:eastAsia="仿宋" w:cs="Times New Roman"/>
                <w:kern w:val="0"/>
                <w:sz w:val="24"/>
                <w:szCs w:val="24"/>
              </w:rPr>
              <w:t>年决算较上年决算增+（减-）</w:t>
            </w:r>
          </w:p>
        </w:tc>
      </w:tr>
      <w:tr>
        <w:tblPrEx>
          <w:tblCellMar>
            <w:top w:w="0" w:type="dxa"/>
            <w:left w:w="108" w:type="dxa"/>
            <w:bottom w:w="0" w:type="dxa"/>
            <w:right w:w="108" w:type="dxa"/>
          </w:tblCellMar>
        </w:tblPrEx>
        <w:trPr>
          <w:trHeight w:val="458" w:hRule="atLeast"/>
        </w:trPr>
        <w:tc>
          <w:tcPr>
            <w:tcW w:w="281"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c>
          <w:tcPr>
            <w:tcW w:w="850"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c>
          <w:tcPr>
            <w:tcW w:w="548"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rPr>
                <w:rFonts w:hint="default" w:ascii="Times New Roman" w:hAnsi="Times New Roman" w:eastAsia="仿宋" w:cs="Times New Roman"/>
                <w:kern w:val="0"/>
                <w:sz w:val="24"/>
                <w:szCs w:val="24"/>
              </w:rPr>
            </w:pPr>
          </w:p>
        </w:tc>
        <w:tc>
          <w:tcPr>
            <w:tcW w:w="514"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c>
          <w:tcPr>
            <w:tcW w:w="511"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c>
          <w:tcPr>
            <w:tcW w:w="58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金额</w:t>
            </w:r>
          </w:p>
        </w:tc>
        <w:tc>
          <w:tcPr>
            <w:tcW w:w="59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比例</w:t>
            </w:r>
          </w:p>
        </w:tc>
        <w:tc>
          <w:tcPr>
            <w:tcW w:w="57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金额</w:t>
            </w:r>
          </w:p>
        </w:tc>
        <w:tc>
          <w:tcPr>
            <w:tcW w:w="53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比例</w:t>
            </w:r>
          </w:p>
        </w:tc>
      </w:tr>
      <w:tr>
        <w:tblPrEx>
          <w:tblCellMar>
            <w:top w:w="0" w:type="dxa"/>
            <w:left w:w="108" w:type="dxa"/>
            <w:bottom w:w="0" w:type="dxa"/>
            <w:right w:w="108" w:type="dxa"/>
          </w:tblCellMar>
        </w:tblPrEx>
        <w:trPr>
          <w:trHeight w:val="458" w:hRule="atLeast"/>
        </w:trPr>
        <w:tc>
          <w:tcPr>
            <w:tcW w:w="281"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850" w:type="pct"/>
            <w:tcBorders>
              <w:top w:val="nil"/>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公务接待费</w:t>
            </w:r>
          </w:p>
        </w:tc>
        <w:tc>
          <w:tcPr>
            <w:tcW w:w="548" w:type="pct"/>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2.96</w:t>
            </w:r>
          </w:p>
        </w:tc>
        <w:tc>
          <w:tcPr>
            <w:tcW w:w="5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7</w:t>
            </w:r>
          </w:p>
        </w:tc>
        <w:tc>
          <w:tcPr>
            <w:tcW w:w="51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0.97</w:t>
            </w:r>
          </w:p>
        </w:tc>
        <w:tc>
          <w:tcPr>
            <w:tcW w:w="588"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-6.03</w:t>
            </w:r>
          </w:p>
        </w:tc>
        <w:tc>
          <w:tcPr>
            <w:tcW w:w="593"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-86.14%</w:t>
            </w:r>
          </w:p>
        </w:tc>
        <w:tc>
          <w:tcPr>
            <w:tcW w:w="57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-1.99</w:t>
            </w:r>
          </w:p>
        </w:tc>
        <w:tc>
          <w:tcPr>
            <w:tcW w:w="53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-67.23%</w:t>
            </w:r>
          </w:p>
        </w:tc>
      </w:tr>
      <w:tr>
        <w:tblPrEx>
          <w:tblCellMar>
            <w:top w:w="0" w:type="dxa"/>
            <w:left w:w="108" w:type="dxa"/>
            <w:bottom w:w="0" w:type="dxa"/>
            <w:right w:w="108" w:type="dxa"/>
          </w:tblCellMar>
        </w:tblPrEx>
        <w:trPr>
          <w:trHeight w:val="560" w:hRule="atLeast"/>
        </w:trPr>
        <w:tc>
          <w:tcPr>
            <w:tcW w:w="2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公务用车运行</w:t>
            </w:r>
            <w:r>
              <w:rPr>
                <w:rFonts w:hint="eastAsia" w:ascii="Times New Roman" w:hAnsi="Times New Roman" w:eastAsia="仿宋" w:cs="Times New Roman"/>
                <w:sz w:val="24"/>
                <w:szCs w:val="24"/>
                <w:lang w:val="en-US" w:eastAsia="zh-CN"/>
              </w:rPr>
              <w:t>维护费</w:t>
            </w:r>
          </w:p>
        </w:tc>
        <w:tc>
          <w:tcPr>
            <w:tcW w:w="5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2.38</w:t>
            </w:r>
          </w:p>
        </w:tc>
        <w:tc>
          <w:tcPr>
            <w:tcW w:w="5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5.5</w:t>
            </w:r>
          </w:p>
        </w:tc>
        <w:tc>
          <w:tcPr>
            <w:tcW w:w="5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1.81</w:t>
            </w:r>
          </w:p>
        </w:tc>
        <w:tc>
          <w:tcPr>
            <w:tcW w:w="5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-3.69</w:t>
            </w:r>
          </w:p>
        </w:tc>
        <w:tc>
          <w:tcPr>
            <w:tcW w:w="5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-67.09%</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-0.57</w:t>
            </w:r>
          </w:p>
        </w:tc>
        <w:tc>
          <w:tcPr>
            <w:tcW w:w="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-23.94%</w:t>
            </w:r>
          </w:p>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458" w:hRule="atLeast"/>
        </w:trPr>
        <w:tc>
          <w:tcPr>
            <w:tcW w:w="2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无因公出国（境）支出</w:t>
            </w:r>
          </w:p>
        </w:tc>
        <w:tc>
          <w:tcPr>
            <w:tcW w:w="5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0</w:t>
            </w:r>
          </w:p>
        </w:tc>
        <w:tc>
          <w:tcPr>
            <w:tcW w:w="5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0</w:t>
            </w:r>
          </w:p>
        </w:tc>
        <w:tc>
          <w:tcPr>
            <w:tcW w:w="5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0</w:t>
            </w:r>
          </w:p>
        </w:tc>
        <w:tc>
          <w:tcPr>
            <w:tcW w:w="5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c>
          <w:tcPr>
            <w:tcW w:w="5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c>
          <w:tcPr>
            <w:tcW w:w="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rPr>
            </w:pPr>
          </w:p>
        </w:tc>
      </w:tr>
      <w:tr>
        <w:tblPrEx>
          <w:tblCellMar>
            <w:top w:w="0" w:type="dxa"/>
            <w:left w:w="108" w:type="dxa"/>
            <w:bottom w:w="0" w:type="dxa"/>
            <w:right w:w="108" w:type="dxa"/>
          </w:tblCellMar>
        </w:tblPrEx>
        <w:trPr>
          <w:trHeight w:val="458" w:hRule="atLeast"/>
        </w:trPr>
        <w:tc>
          <w:tcPr>
            <w:tcW w:w="28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8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合计</w:t>
            </w:r>
          </w:p>
        </w:tc>
        <w:tc>
          <w:tcPr>
            <w:tcW w:w="5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right"/>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5.34</w:t>
            </w:r>
          </w:p>
        </w:tc>
        <w:tc>
          <w:tcPr>
            <w:tcW w:w="51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12.5</w:t>
            </w:r>
          </w:p>
        </w:tc>
        <w:tc>
          <w:tcPr>
            <w:tcW w:w="5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2.78</w:t>
            </w:r>
          </w:p>
        </w:tc>
        <w:tc>
          <w:tcPr>
            <w:tcW w:w="5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-9.72</w:t>
            </w:r>
          </w:p>
        </w:tc>
        <w:tc>
          <w:tcPr>
            <w:tcW w:w="59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-77.76%</w:t>
            </w:r>
          </w:p>
        </w:tc>
        <w:tc>
          <w:tcPr>
            <w:tcW w:w="57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-2.56</w:t>
            </w:r>
          </w:p>
        </w:tc>
        <w:tc>
          <w:tcPr>
            <w:tcW w:w="53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-47.94%</w:t>
            </w:r>
          </w:p>
        </w:tc>
      </w:tr>
    </w:tbl>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从上表反映，</w:t>
      </w:r>
      <w:r>
        <w:rPr>
          <w:rFonts w:hint="eastAsia" w:ascii="Times New Roman" w:hAnsi="Times New Roman" w:eastAsia="仿宋" w:cs="Times New Roman"/>
          <w:sz w:val="32"/>
          <w:szCs w:val="32"/>
          <w:lang w:val="en-US" w:eastAsia="zh-CN"/>
        </w:rPr>
        <w:t>2020</w:t>
      </w:r>
      <w:r>
        <w:rPr>
          <w:rFonts w:hint="default" w:ascii="Times New Roman" w:hAnsi="Times New Roman" w:eastAsia="仿宋" w:cs="Times New Roman"/>
          <w:sz w:val="32"/>
          <w:szCs w:val="32"/>
        </w:rPr>
        <w:t>年“三公”经费实</w:t>
      </w:r>
      <w:r>
        <w:rPr>
          <w:rFonts w:hint="default" w:ascii="Times New Roman" w:hAnsi="Times New Roman" w:eastAsia="仿宋" w:cs="Times New Roman"/>
          <w:sz w:val="32"/>
          <w:szCs w:val="32"/>
          <w:lang w:val="en-US" w:eastAsia="zh-CN"/>
        </w:rPr>
        <w:t>际支出</w:t>
      </w:r>
      <w:r>
        <w:rPr>
          <w:rFonts w:hint="eastAsia" w:ascii="Times New Roman" w:hAnsi="Times New Roman" w:eastAsia="仿宋" w:cs="Times New Roman"/>
          <w:sz w:val="32"/>
          <w:szCs w:val="32"/>
          <w:lang w:val="en-US" w:eastAsia="zh-CN"/>
        </w:rPr>
        <w:t>2.78</w:t>
      </w:r>
      <w:r>
        <w:rPr>
          <w:rFonts w:hint="default" w:ascii="Times New Roman" w:hAnsi="Times New Roman" w:eastAsia="仿宋" w:cs="Times New Roman"/>
          <w:sz w:val="32"/>
          <w:szCs w:val="32"/>
          <w:lang w:val="en-US" w:eastAsia="zh-CN"/>
        </w:rPr>
        <w:t>万元，较上年支出减少</w:t>
      </w:r>
      <w:r>
        <w:rPr>
          <w:rFonts w:hint="eastAsia" w:ascii="Times New Roman" w:hAnsi="Times New Roman" w:eastAsia="仿宋" w:cs="Times New Roman"/>
          <w:sz w:val="32"/>
          <w:szCs w:val="32"/>
          <w:lang w:val="en-US" w:eastAsia="zh-CN"/>
        </w:rPr>
        <w:t>2.56</w:t>
      </w:r>
      <w:r>
        <w:rPr>
          <w:rFonts w:hint="default" w:ascii="Times New Roman" w:hAnsi="Times New Roman" w:eastAsia="仿宋" w:cs="Times New Roman"/>
          <w:sz w:val="32"/>
          <w:szCs w:val="32"/>
          <w:lang w:val="en-US" w:eastAsia="zh-CN"/>
        </w:rPr>
        <w:t>万元，减少下降比率为</w:t>
      </w:r>
      <w:r>
        <w:rPr>
          <w:rFonts w:hint="eastAsia" w:ascii="Times New Roman" w:hAnsi="Times New Roman" w:eastAsia="仿宋" w:cs="Times New Roman"/>
          <w:sz w:val="32"/>
          <w:szCs w:val="32"/>
          <w:lang w:val="en-US" w:eastAsia="zh-CN"/>
        </w:rPr>
        <w:t>47.94</w:t>
      </w:r>
      <w:r>
        <w:rPr>
          <w:rFonts w:hint="default" w:ascii="Times New Roman" w:hAnsi="Times New Roman" w:eastAsia="仿宋" w:cs="Times New Roman"/>
          <w:sz w:val="32"/>
          <w:szCs w:val="32"/>
          <w:lang w:val="en-US" w:eastAsia="zh-CN"/>
        </w:rPr>
        <w:t>%。从“三公”经费开支情况来看公务接待费、公务用车运行维护费减少比例</w:t>
      </w:r>
      <w:r>
        <w:rPr>
          <w:rFonts w:hint="default" w:ascii="Times New Roman" w:hAnsi="Times New Roman" w:eastAsia="仿宋" w:cs="Times New Roman"/>
          <w:sz w:val="32"/>
          <w:szCs w:val="32"/>
        </w:rPr>
        <w:t>较大，主要原因是落实厉行节约、严格控制和大力压缩公务接待支出。</w:t>
      </w:r>
    </w:p>
    <w:p>
      <w:pPr>
        <w:keepNext w:val="0"/>
        <w:keepLines w:val="0"/>
        <w:pageBreakBefore w:val="0"/>
        <w:kinsoku/>
        <w:wordWrap/>
        <w:overflowPunct/>
        <w:topLinePunct w:val="0"/>
        <w:autoSpaceDE/>
        <w:autoSpaceDN/>
        <w:bidi w:val="0"/>
        <w:adjustRightInd/>
        <w:spacing w:line="560" w:lineRule="exact"/>
        <w:ind w:firstLine="640" w:firstLineChars="200"/>
        <w:rPr>
          <w:rFonts w:eastAsia="楷体_GB2312"/>
          <w:sz w:val="32"/>
          <w:szCs w:val="32"/>
        </w:rPr>
      </w:pPr>
      <w:r>
        <w:rPr>
          <w:rFonts w:eastAsia="楷体_GB2312"/>
          <w:sz w:val="32"/>
          <w:szCs w:val="32"/>
        </w:rPr>
        <w:t>（二）项目支出情况</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1.项目支出预、决算情况</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default" w:ascii="Times New Roman" w:hAnsi="Times New Roman" w:eastAsia="仿宋" w:cs="Times New Roman"/>
          <w:sz w:val="32"/>
          <w:szCs w:val="32"/>
          <w:u w:val="none"/>
        </w:rPr>
      </w:pPr>
      <w:r>
        <w:rPr>
          <w:rFonts w:hint="default" w:ascii="Times New Roman" w:hAnsi="Times New Roman" w:eastAsia="仿宋" w:cs="Times New Roman"/>
          <w:sz w:val="32"/>
          <w:szCs w:val="32"/>
          <w:u w:val="none"/>
        </w:rPr>
        <w:t>20</w:t>
      </w:r>
      <w:r>
        <w:rPr>
          <w:rFonts w:hint="eastAsia" w:ascii="Times New Roman" w:hAnsi="Times New Roman" w:eastAsia="仿宋" w:cs="Times New Roman"/>
          <w:sz w:val="32"/>
          <w:szCs w:val="32"/>
          <w:u w:val="none"/>
          <w:lang w:val="en-US" w:eastAsia="zh-CN"/>
        </w:rPr>
        <w:t>20</w:t>
      </w:r>
      <w:r>
        <w:rPr>
          <w:rFonts w:hint="default" w:ascii="Times New Roman" w:hAnsi="Times New Roman" w:eastAsia="仿宋" w:cs="Times New Roman"/>
          <w:sz w:val="32"/>
          <w:szCs w:val="32"/>
          <w:u w:val="none"/>
        </w:rPr>
        <w:t>年</w:t>
      </w:r>
      <w:r>
        <w:rPr>
          <w:rFonts w:hint="eastAsia"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u w:val="none"/>
        </w:rPr>
        <w:t>项目支出</w:t>
      </w:r>
      <w:r>
        <w:rPr>
          <w:rFonts w:hint="eastAsia" w:ascii="Times New Roman" w:hAnsi="Times New Roman" w:eastAsia="仿宋" w:cs="Times New Roman"/>
          <w:sz w:val="32"/>
          <w:szCs w:val="32"/>
          <w:u w:val="none"/>
        </w:rPr>
        <w:t>年初</w:t>
      </w:r>
      <w:r>
        <w:rPr>
          <w:rFonts w:hint="default" w:ascii="Times New Roman" w:hAnsi="Times New Roman" w:eastAsia="仿宋" w:cs="Times New Roman"/>
          <w:sz w:val="32"/>
          <w:szCs w:val="32"/>
          <w:u w:val="none"/>
        </w:rPr>
        <w:t>预算</w:t>
      </w:r>
      <w:r>
        <w:rPr>
          <w:rFonts w:hint="eastAsia" w:ascii="Times New Roman" w:hAnsi="Times New Roman" w:eastAsia="仿宋" w:cs="Times New Roman"/>
          <w:sz w:val="32"/>
          <w:szCs w:val="32"/>
          <w:u w:val="none"/>
          <w:lang w:val="en-US" w:eastAsia="zh-CN"/>
        </w:rPr>
        <w:t>110</w:t>
      </w:r>
      <w:r>
        <w:rPr>
          <w:rFonts w:hint="default" w:ascii="Times New Roman" w:hAnsi="Times New Roman" w:eastAsia="仿宋" w:cs="Times New Roman"/>
          <w:sz w:val="32"/>
          <w:szCs w:val="32"/>
          <w:u w:val="none"/>
        </w:rPr>
        <w:t>万元，上年结转</w:t>
      </w:r>
      <w:r>
        <w:rPr>
          <w:rFonts w:hint="eastAsia" w:ascii="Times New Roman" w:hAnsi="Times New Roman" w:eastAsia="仿宋" w:cs="Times New Roman"/>
          <w:sz w:val="32"/>
          <w:szCs w:val="32"/>
          <w:u w:val="none"/>
          <w:lang w:val="en-US" w:eastAsia="zh-CN"/>
        </w:rPr>
        <w:t>72.49</w:t>
      </w:r>
      <w:r>
        <w:rPr>
          <w:rFonts w:hint="default" w:ascii="Times New Roman" w:hAnsi="Times New Roman" w:eastAsia="仿宋" w:cs="Times New Roman"/>
          <w:sz w:val="32"/>
          <w:szCs w:val="32"/>
          <w:u w:val="none"/>
        </w:rPr>
        <w:t>万元，年内预算调</w:t>
      </w:r>
      <w:r>
        <w:rPr>
          <w:rFonts w:hint="eastAsia" w:ascii="Times New Roman" w:hAnsi="Times New Roman" w:eastAsia="仿宋" w:cs="Times New Roman"/>
          <w:sz w:val="32"/>
          <w:szCs w:val="32"/>
          <w:u w:val="none"/>
          <w:lang w:val="en-US" w:eastAsia="zh-CN"/>
        </w:rPr>
        <w:t>减12.11万元</w:t>
      </w:r>
      <w:r>
        <w:rPr>
          <w:rFonts w:hint="default" w:ascii="Times New Roman" w:hAnsi="Times New Roman" w:eastAsia="仿宋" w:cs="Times New Roman"/>
          <w:sz w:val="32"/>
          <w:szCs w:val="32"/>
          <w:u w:val="none"/>
        </w:rPr>
        <w:t>，全年可执行</w:t>
      </w:r>
      <w:r>
        <w:rPr>
          <w:rFonts w:hint="eastAsia" w:ascii="Times New Roman" w:hAnsi="Times New Roman" w:eastAsia="仿宋" w:cs="Times New Roman"/>
          <w:sz w:val="32"/>
          <w:szCs w:val="32"/>
          <w:u w:val="none"/>
        </w:rPr>
        <w:t>预算</w:t>
      </w:r>
      <w:r>
        <w:rPr>
          <w:rFonts w:hint="default" w:ascii="Times New Roman" w:hAnsi="Times New Roman" w:eastAsia="仿宋" w:cs="Times New Roman"/>
          <w:sz w:val="32"/>
          <w:szCs w:val="32"/>
          <w:u w:val="none"/>
        </w:rPr>
        <w:t>合计</w:t>
      </w:r>
      <w:r>
        <w:rPr>
          <w:rFonts w:hint="eastAsia" w:ascii="Times New Roman" w:hAnsi="Times New Roman" w:eastAsia="仿宋" w:cs="Times New Roman"/>
          <w:sz w:val="32"/>
          <w:szCs w:val="32"/>
          <w:u w:val="none"/>
          <w:lang w:val="en-US" w:eastAsia="zh-CN"/>
        </w:rPr>
        <w:t>170.38</w:t>
      </w:r>
      <w:r>
        <w:rPr>
          <w:rFonts w:hint="default" w:ascii="Times New Roman" w:hAnsi="Times New Roman" w:eastAsia="仿宋" w:cs="Times New Roman"/>
          <w:sz w:val="32"/>
          <w:szCs w:val="32"/>
          <w:u w:val="none"/>
        </w:rPr>
        <w:t>万元。</w:t>
      </w:r>
    </w:p>
    <w:p>
      <w:pPr>
        <w:keepNext w:val="0"/>
        <w:keepLines w:val="0"/>
        <w:pageBreakBefore w:val="0"/>
        <w:kinsoku/>
        <w:wordWrap/>
        <w:overflowPunct/>
        <w:topLinePunct w:val="0"/>
        <w:autoSpaceDE/>
        <w:autoSpaceDN/>
        <w:bidi w:val="0"/>
        <w:adjustRightInd/>
        <w:snapToGrid w:val="0"/>
        <w:spacing w:line="560" w:lineRule="exact"/>
        <w:ind w:firstLine="640" w:firstLineChars="200"/>
        <w:rPr>
          <w:rFonts w:hint="default" w:ascii="Times New Roman" w:hAnsi="Times New Roman" w:eastAsia="仿宋" w:cs="Times New Roman"/>
          <w:sz w:val="32"/>
          <w:szCs w:val="32"/>
          <w:u w:val="none"/>
        </w:rPr>
      </w:pPr>
      <w:r>
        <w:rPr>
          <w:rFonts w:hint="default" w:ascii="Times New Roman" w:hAnsi="Times New Roman" w:eastAsia="仿宋" w:cs="Times New Roman"/>
          <w:sz w:val="32"/>
          <w:szCs w:val="32"/>
          <w:u w:val="none"/>
        </w:rPr>
        <w:t>20</w:t>
      </w:r>
      <w:r>
        <w:rPr>
          <w:rFonts w:hint="eastAsia" w:ascii="Times New Roman" w:hAnsi="Times New Roman" w:eastAsia="仿宋" w:cs="Times New Roman"/>
          <w:sz w:val="32"/>
          <w:szCs w:val="32"/>
          <w:u w:val="none"/>
          <w:lang w:val="en-US" w:eastAsia="zh-CN"/>
        </w:rPr>
        <w:t>20</w:t>
      </w:r>
      <w:r>
        <w:rPr>
          <w:rFonts w:hint="default" w:ascii="Times New Roman" w:hAnsi="Times New Roman" w:eastAsia="仿宋" w:cs="Times New Roman"/>
          <w:sz w:val="32"/>
          <w:szCs w:val="32"/>
          <w:u w:val="none"/>
        </w:rPr>
        <w:t>年</w:t>
      </w:r>
      <w:r>
        <w:rPr>
          <w:rFonts w:hint="eastAsia" w:ascii="Times New Roman" w:hAnsi="Times New Roman" w:eastAsia="仿宋" w:cs="Times New Roman"/>
          <w:sz w:val="32"/>
          <w:szCs w:val="32"/>
          <w:u w:val="none"/>
          <w:lang w:eastAsia="zh-CN"/>
        </w:rPr>
        <w:t>，</w:t>
      </w:r>
      <w:r>
        <w:rPr>
          <w:rFonts w:hint="default" w:ascii="Times New Roman" w:hAnsi="Times New Roman" w:eastAsia="仿宋" w:cs="Times New Roman"/>
          <w:sz w:val="32"/>
          <w:szCs w:val="32"/>
          <w:u w:val="none"/>
        </w:rPr>
        <w:t>项目支出决算</w:t>
      </w:r>
      <w:r>
        <w:rPr>
          <w:rFonts w:hint="eastAsia" w:ascii="Times New Roman" w:hAnsi="Times New Roman" w:eastAsia="仿宋" w:cs="Times New Roman"/>
          <w:sz w:val="32"/>
          <w:szCs w:val="32"/>
          <w:u w:val="none"/>
          <w:lang w:val="en-US" w:eastAsia="zh-CN"/>
        </w:rPr>
        <w:t>118</w:t>
      </w:r>
      <w:r>
        <w:rPr>
          <w:rFonts w:hint="default" w:ascii="Times New Roman" w:hAnsi="Times New Roman" w:eastAsia="仿宋" w:cs="Times New Roman"/>
          <w:sz w:val="32"/>
          <w:szCs w:val="32"/>
          <w:u w:val="none"/>
        </w:rPr>
        <w:t>万元，年末结转结余</w:t>
      </w:r>
      <w:r>
        <w:rPr>
          <w:rFonts w:hint="eastAsia" w:ascii="Times New Roman" w:hAnsi="Times New Roman" w:eastAsia="仿宋" w:cs="Times New Roman"/>
          <w:sz w:val="32"/>
          <w:szCs w:val="32"/>
          <w:u w:val="none"/>
          <w:lang w:val="en-US" w:eastAsia="zh-CN"/>
        </w:rPr>
        <w:t>52.38</w:t>
      </w:r>
      <w:r>
        <w:rPr>
          <w:rFonts w:hint="default" w:ascii="Times New Roman" w:hAnsi="Times New Roman" w:eastAsia="仿宋" w:cs="Times New Roman"/>
          <w:sz w:val="32"/>
          <w:szCs w:val="32"/>
          <w:u w:val="none"/>
        </w:rPr>
        <w:t>万元。具体明细如下：</w:t>
      </w:r>
    </w:p>
    <w:p>
      <w:pPr>
        <w:keepNext w:val="0"/>
        <w:keepLines w:val="0"/>
        <w:pageBreakBefore w:val="0"/>
        <w:kinsoku/>
        <w:wordWrap/>
        <w:overflowPunct/>
        <w:topLinePunct w:val="0"/>
        <w:autoSpaceDE/>
        <w:autoSpaceDN/>
        <w:bidi w:val="0"/>
        <w:adjustRightInd/>
        <w:spacing w:line="560" w:lineRule="exact"/>
        <w:ind w:firstLine="480" w:firstLineChars="200"/>
        <w:jc w:val="right"/>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单位：万元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4"/>
        <w:gridCol w:w="971"/>
        <w:gridCol w:w="1317"/>
        <w:gridCol w:w="851"/>
        <w:gridCol w:w="981"/>
        <w:gridCol w:w="911"/>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13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4"/>
                <w:szCs w:val="24"/>
              </w:rPr>
              <w:t>项目</w:t>
            </w:r>
            <w:r>
              <w:rPr>
                <w:rFonts w:hint="eastAsia" w:ascii="Times New Roman" w:hAnsi="Times New Roman" w:eastAsia="仿宋" w:cs="Times New Roman"/>
                <w:sz w:val="24"/>
                <w:szCs w:val="24"/>
                <w:lang w:val="en-US" w:eastAsia="zh-CN"/>
              </w:rPr>
              <w:t>名称</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年初</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预算</w:t>
            </w:r>
          </w:p>
        </w:tc>
        <w:tc>
          <w:tcPr>
            <w:tcW w:w="13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上年</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结转</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本年调整</w:t>
            </w: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可执行指标</w:t>
            </w: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决算金额</w:t>
            </w:r>
          </w:p>
        </w:tc>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结转</w:t>
            </w:r>
          </w:p>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13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事业运行经费</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110</w:t>
            </w:r>
          </w:p>
        </w:tc>
        <w:tc>
          <w:tcPr>
            <w:tcW w:w="13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72.49</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-12.11</w:t>
            </w: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170.38</w:t>
            </w: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118</w:t>
            </w:r>
          </w:p>
        </w:tc>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13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仿宋" w:cs="Times New Roman"/>
                <w:sz w:val="24"/>
                <w:szCs w:val="24"/>
              </w:rPr>
            </w:pP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rPr>
            </w:pPr>
          </w:p>
        </w:tc>
        <w:tc>
          <w:tcPr>
            <w:tcW w:w="13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rPr>
            </w:pPr>
          </w:p>
        </w:tc>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w:t>
            </w:r>
          </w:p>
        </w:tc>
        <w:tc>
          <w:tcPr>
            <w:tcW w:w="13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仿宋" w:cs="Times New Roman"/>
                <w:sz w:val="24"/>
                <w:szCs w:val="24"/>
              </w:rPr>
            </w:pP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rPr>
            </w:pPr>
          </w:p>
        </w:tc>
        <w:tc>
          <w:tcPr>
            <w:tcW w:w="13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rPr>
            </w:pP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rPr>
            </w:pP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rPr>
            </w:pPr>
          </w:p>
        </w:tc>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p>
        </w:tc>
        <w:tc>
          <w:tcPr>
            <w:tcW w:w="13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合计</w:t>
            </w:r>
          </w:p>
        </w:tc>
        <w:tc>
          <w:tcPr>
            <w:tcW w:w="97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110</w:t>
            </w:r>
          </w:p>
        </w:tc>
        <w:tc>
          <w:tcPr>
            <w:tcW w:w="13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72.49</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-12.11</w:t>
            </w:r>
          </w:p>
        </w:tc>
        <w:tc>
          <w:tcPr>
            <w:tcW w:w="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170.38</w:t>
            </w:r>
          </w:p>
        </w:tc>
        <w:tc>
          <w:tcPr>
            <w:tcW w:w="91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118</w:t>
            </w:r>
          </w:p>
        </w:tc>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0" w:firstLineChars="0"/>
              <w:jc w:val="right"/>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52.38</w:t>
            </w:r>
          </w:p>
        </w:tc>
      </w:tr>
    </w:tbl>
    <w:p>
      <w:pPr>
        <w:keepNext w:val="0"/>
        <w:keepLines w:val="0"/>
        <w:pageBreakBefore w:val="0"/>
        <w:numPr>
          <w:ilvl w:val="0"/>
          <w:numId w:val="2"/>
        </w:numPr>
        <w:kinsoku/>
        <w:wordWrap/>
        <w:overflowPunct/>
        <w:topLinePunct w:val="0"/>
        <w:autoSpaceDE/>
        <w:autoSpaceDN/>
        <w:bidi w:val="0"/>
        <w:adjustRightInd/>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预算管理情况</w:t>
      </w:r>
    </w:p>
    <w:p>
      <w:pPr>
        <w:ind w:firstLine="640" w:firstLineChars="200"/>
        <w:rPr>
          <w:rFonts w:hint="default" w:ascii="楷体_GB2312" w:eastAsia="楷体_GB2312"/>
          <w:sz w:val="32"/>
          <w:szCs w:val="32"/>
          <w:lang w:val="en-US" w:eastAsia="zh-CN"/>
        </w:rPr>
      </w:pPr>
      <w:r>
        <w:rPr>
          <w:rFonts w:hint="eastAsia" w:ascii="仿宋_GB2312" w:hAnsi="仿宋_GB2312" w:eastAsia="仿宋_GB2312" w:cs="仿宋_GB2312"/>
          <w:sz w:val="32"/>
          <w:szCs w:val="32"/>
        </w:rPr>
        <w:t>制定预算明细，每季度召开会议对财务运行情况进行盘点和分析，有针对性的用好预算资金。同时加强日常管理，严格预算执行和财务审核制度，建立健全了管理制度，明确细化责任，形成各司其职、各负其责、相互制约监督的工作机制。</w:t>
      </w:r>
    </w:p>
    <w:p>
      <w:pPr>
        <w:widowControl/>
        <w:spacing w:line="560" w:lineRule="exact"/>
        <w:ind w:firstLine="640"/>
        <w:rPr>
          <w:rFonts w:ascii="Times New Roman" w:hAnsi="Times New Roman" w:eastAsia="黑体"/>
          <w:color w:val="222222"/>
          <w:kern w:val="0"/>
          <w:sz w:val="32"/>
          <w:szCs w:val="32"/>
        </w:rPr>
      </w:pPr>
      <w:r>
        <w:rPr>
          <w:rFonts w:ascii="Times New Roman" w:hAnsi="Times New Roman" w:eastAsia="黑体"/>
          <w:color w:val="222222"/>
          <w:kern w:val="0"/>
          <w:sz w:val="32"/>
          <w:szCs w:val="32"/>
        </w:rPr>
        <w:t>三、部门绩效目标</w:t>
      </w:r>
    </w:p>
    <w:p>
      <w:pPr>
        <w:widowControl/>
        <w:spacing w:line="560" w:lineRule="exact"/>
        <w:ind w:firstLine="640"/>
        <w:rPr>
          <w:rFonts w:ascii="Times New Roman" w:hAnsi="Times New Roman" w:eastAsia="楷体_GB2312"/>
          <w:color w:val="222222"/>
          <w:kern w:val="0"/>
          <w:sz w:val="32"/>
          <w:szCs w:val="32"/>
        </w:rPr>
      </w:pPr>
      <w:r>
        <w:rPr>
          <w:rFonts w:ascii="Times New Roman" w:hAnsi="Times New Roman" w:eastAsia="楷体_GB2312"/>
          <w:color w:val="222222"/>
          <w:kern w:val="0"/>
          <w:sz w:val="32"/>
          <w:szCs w:val="32"/>
        </w:rPr>
        <w:t>（一）部门绩效总目标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在市委和市委编委的坚强领导下，市委编办紧紧围绕推动经济高质量发展、打赢三大攻坚战、“开放强市、产业立市”等重大决策部署，始终坚持党对机构编制工作的集中统一领导，深入推进党政群机构改革和其他重点领域改革，规范机构编制管理，在市委机改办的统筹协调下，统筹推进市、县、乡三级党政群机构改革及其他重点领域改革，成效明显。</w:t>
      </w:r>
    </w:p>
    <w:p>
      <w:pPr>
        <w:widowControl/>
        <w:spacing w:line="560" w:lineRule="exact"/>
        <w:ind w:firstLine="640"/>
        <w:rPr>
          <w:rFonts w:ascii="Times New Roman" w:hAnsi="Times New Roman" w:eastAsia="楷体_GB2312"/>
          <w:color w:val="222222"/>
          <w:kern w:val="0"/>
          <w:sz w:val="32"/>
          <w:szCs w:val="32"/>
        </w:rPr>
      </w:pPr>
      <w:r>
        <w:rPr>
          <w:rFonts w:ascii="Times New Roman" w:hAnsi="Times New Roman" w:eastAsia="楷体_GB2312"/>
          <w:color w:val="222222"/>
          <w:kern w:val="0"/>
          <w:sz w:val="32"/>
          <w:szCs w:val="32"/>
        </w:rPr>
        <w:t>（二）</w:t>
      </w:r>
      <w:r>
        <w:rPr>
          <w:rFonts w:hint="eastAsia" w:ascii="Times New Roman" w:hAnsi="Times New Roman" w:eastAsia="楷体_GB2312"/>
          <w:color w:val="222222"/>
          <w:kern w:val="0"/>
          <w:sz w:val="32"/>
          <w:szCs w:val="32"/>
          <w:lang w:val="en-US" w:eastAsia="zh-CN"/>
        </w:rPr>
        <w:t>2020</w:t>
      </w:r>
      <w:r>
        <w:rPr>
          <w:rFonts w:hint="eastAsia" w:ascii="Times New Roman" w:hAnsi="Times New Roman" w:eastAsia="楷体_GB2312"/>
          <w:color w:val="222222"/>
          <w:kern w:val="0"/>
          <w:sz w:val="32"/>
          <w:szCs w:val="32"/>
        </w:rPr>
        <w:t>年度</w:t>
      </w:r>
      <w:r>
        <w:rPr>
          <w:rFonts w:ascii="Times New Roman" w:hAnsi="Times New Roman" w:eastAsia="楷体_GB2312"/>
          <w:color w:val="222222"/>
          <w:kern w:val="0"/>
          <w:sz w:val="32"/>
          <w:szCs w:val="32"/>
        </w:rPr>
        <w:t>部门绩效目标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确保市直行政编制不突破省里下达限额，事业编制不突破2012年总量。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2.开展机构编制业务培训</w:t>
      </w:r>
      <w:r>
        <w:rPr>
          <w:rFonts w:hint="eastAsia" w:ascii="仿宋_GB2312" w:hAnsi="仿宋_GB2312" w:eastAsia="仿宋_GB2312" w:cs="仿宋_GB2312"/>
          <w:sz w:val="32"/>
          <w:szCs w:val="32"/>
          <w:lang w:val="en-US" w:eastAsia="zh-CN"/>
        </w:rPr>
        <w:t>4次以上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开展中心组学习活动12次以上；开展主题党日活动12次以上；开展志愿者服务活动8次以上；开展文明创建活动4次以上。</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3.确保市直事业单位法人年度报告审核率达到90%以上。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4.确保市直行政事业单位中文域名注册覆盖率达到90%以上。</w:t>
      </w:r>
    </w:p>
    <w:p>
      <w:pPr>
        <w:widowControl/>
        <w:numPr>
          <w:ilvl w:val="0"/>
          <w:numId w:val="3"/>
        </w:numPr>
        <w:spacing w:line="560" w:lineRule="exact"/>
        <w:ind w:firstLine="640"/>
        <w:rPr>
          <w:rFonts w:ascii="Times New Roman" w:hAnsi="Times New Roman" w:eastAsia="黑体"/>
          <w:color w:val="222222"/>
          <w:kern w:val="0"/>
          <w:sz w:val="32"/>
          <w:szCs w:val="32"/>
        </w:rPr>
      </w:pPr>
      <w:r>
        <w:rPr>
          <w:rFonts w:ascii="Times New Roman" w:hAnsi="Times New Roman" w:eastAsia="黑体"/>
          <w:color w:val="222222"/>
          <w:kern w:val="0"/>
          <w:sz w:val="32"/>
          <w:szCs w:val="32"/>
        </w:rPr>
        <w:t>绩效评价工作情况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我办对本单位的预算配置、预算执行情况、预算管理、职责履行、履职效益和各部门经费支出、厉行节约保障措施等方面的执行情况进行了自评，形成评价结论。</w:t>
      </w:r>
    </w:p>
    <w:p>
      <w:pPr>
        <w:widowControl/>
        <w:numPr>
          <w:ilvl w:val="0"/>
          <w:numId w:val="3"/>
        </w:numPr>
        <w:spacing w:line="560" w:lineRule="exact"/>
        <w:ind w:left="0" w:leftChars="0" w:firstLine="640" w:firstLineChars="0"/>
        <w:rPr>
          <w:rFonts w:ascii="Times New Roman" w:hAnsi="Times New Roman" w:eastAsia="黑体"/>
          <w:color w:val="000000"/>
          <w:sz w:val="32"/>
          <w:szCs w:val="32"/>
        </w:rPr>
      </w:pPr>
      <w:r>
        <w:rPr>
          <w:rFonts w:ascii="Times New Roman" w:hAnsi="Times New Roman" w:eastAsia="黑体"/>
          <w:color w:val="000000"/>
          <w:sz w:val="32"/>
          <w:szCs w:val="32"/>
        </w:rPr>
        <w:t>综合评价结果</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eastAsia="仿宋_GB2312" w:cs="仿宋"/>
          <w:sz w:val="32"/>
          <w:szCs w:val="32"/>
          <w:lang w:eastAsia="zh-CN"/>
        </w:rPr>
        <w:t>本单位</w:t>
      </w:r>
      <w:r>
        <w:rPr>
          <w:rFonts w:eastAsia="仿宋_GB2312" w:cs="仿宋"/>
          <w:sz w:val="32"/>
          <w:szCs w:val="32"/>
        </w:rPr>
        <w:t>对</w:t>
      </w:r>
      <w:r>
        <w:rPr>
          <w:rFonts w:hint="eastAsia" w:eastAsia="仿宋_GB2312" w:cs="仿宋"/>
          <w:sz w:val="32"/>
          <w:szCs w:val="32"/>
          <w:lang w:val="en-US" w:eastAsia="zh-CN"/>
        </w:rPr>
        <w:t>2020</w:t>
      </w:r>
      <w:r>
        <w:rPr>
          <w:rFonts w:eastAsia="仿宋_GB2312" w:cs="仿宋"/>
          <w:sz w:val="32"/>
          <w:szCs w:val="32"/>
        </w:rPr>
        <w:t>年部门整体支出绩效情况进行了自评，自评</w:t>
      </w:r>
      <w:r>
        <w:rPr>
          <w:rFonts w:hint="eastAsia" w:eastAsia="仿宋_GB2312" w:cs="仿宋"/>
          <w:sz w:val="32"/>
          <w:szCs w:val="32"/>
          <w:lang w:eastAsia="zh-CN"/>
        </w:rPr>
        <w:t>得分</w:t>
      </w:r>
      <w:r>
        <w:rPr>
          <w:rFonts w:hint="eastAsia" w:eastAsia="仿宋_GB2312" w:cs="仿宋"/>
          <w:sz w:val="32"/>
          <w:szCs w:val="32"/>
          <w:lang w:val="en-US" w:eastAsia="zh-CN"/>
        </w:rPr>
        <w:t>95</w:t>
      </w:r>
      <w:r>
        <w:rPr>
          <w:rFonts w:hint="eastAsia" w:eastAsia="仿宋_GB2312" w:cs="仿宋"/>
          <w:sz w:val="32"/>
          <w:szCs w:val="32"/>
          <w:lang w:eastAsia="zh-CN"/>
        </w:rPr>
        <w:t>分，绩</w:t>
      </w:r>
      <w:r>
        <w:rPr>
          <w:rFonts w:eastAsia="仿宋_GB2312" w:cs="仿宋"/>
          <w:sz w:val="32"/>
          <w:szCs w:val="32"/>
        </w:rPr>
        <w:t>效自评等级为</w:t>
      </w:r>
      <w:r>
        <w:rPr>
          <w:rFonts w:hint="eastAsia" w:eastAsia="仿宋_GB2312" w:cs="仿宋"/>
          <w:sz w:val="32"/>
          <w:szCs w:val="32"/>
        </w:rPr>
        <w:t>“</w:t>
      </w:r>
      <w:r>
        <w:rPr>
          <w:rFonts w:hint="eastAsia" w:eastAsia="仿宋_GB2312" w:cs="仿宋"/>
          <w:sz w:val="32"/>
          <w:szCs w:val="32"/>
          <w:lang w:val="en-US" w:eastAsia="zh-CN"/>
        </w:rPr>
        <w:t>优</w:t>
      </w:r>
      <w:r>
        <w:rPr>
          <w:rFonts w:hint="eastAsia" w:eastAsia="仿宋_GB2312" w:cs="仿宋"/>
          <w:sz w:val="32"/>
          <w:szCs w:val="32"/>
        </w:rPr>
        <w:t>”</w:t>
      </w:r>
      <w:r>
        <w:rPr>
          <w:rFonts w:hint="eastAsia" w:eastAsia="仿宋_GB2312" w:cs="仿宋"/>
          <w:sz w:val="32"/>
          <w:szCs w:val="32"/>
          <w:lang w:eastAsia="zh-CN"/>
        </w:rPr>
        <w:t>。</w:t>
      </w:r>
      <w:r>
        <w:rPr>
          <w:rFonts w:hint="eastAsia" w:ascii="仿宋_GB2312" w:hAnsi="仿宋_GB2312" w:eastAsia="仿宋_GB2312" w:cs="仿宋_GB2312"/>
          <w:sz w:val="32"/>
          <w:szCs w:val="32"/>
          <w:lang w:val="en-US" w:eastAsia="zh-CN"/>
        </w:rPr>
        <w:t>总的来说我办各项工作推进很好。</w:t>
      </w:r>
    </w:p>
    <w:p>
      <w:pPr>
        <w:widowControl/>
        <w:numPr>
          <w:ilvl w:val="0"/>
          <w:numId w:val="3"/>
        </w:numPr>
        <w:spacing w:line="560" w:lineRule="exact"/>
        <w:ind w:left="0" w:leftChars="0" w:firstLine="640" w:firstLineChars="0"/>
        <w:rPr>
          <w:rFonts w:hint="eastAsia" w:ascii="Times New Roman" w:hAnsi="Times New Roman" w:eastAsia="黑体"/>
          <w:color w:val="222222"/>
          <w:kern w:val="0"/>
          <w:sz w:val="32"/>
          <w:szCs w:val="32"/>
        </w:rPr>
      </w:pPr>
      <w:r>
        <w:rPr>
          <w:rFonts w:ascii="Times New Roman" w:hAnsi="Times New Roman" w:eastAsia="黑体"/>
          <w:color w:val="222222"/>
          <w:kern w:val="0"/>
          <w:sz w:val="32"/>
          <w:szCs w:val="32"/>
        </w:rPr>
        <w:t>部门</w:t>
      </w:r>
      <w:r>
        <w:rPr>
          <w:rFonts w:hint="eastAsia" w:ascii="Times New Roman" w:hAnsi="Times New Roman" w:eastAsia="黑体"/>
          <w:color w:val="222222"/>
          <w:kern w:val="0"/>
          <w:sz w:val="32"/>
          <w:szCs w:val="32"/>
        </w:rPr>
        <w:t>整体支出</w:t>
      </w:r>
      <w:r>
        <w:rPr>
          <w:rFonts w:ascii="Times New Roman" w:hAnsi="Times New Roman" w:eastAsia="黑体"/>
          <w:color w:val="222222"/>
          <w:kern w:val="0"/>
          <w:sz w:val="32"/>
          <w:szCs w:val="32"/>
        </w:rPr>
        <w:t>绩效</w:t>
      </w:r>
      <w:r>
        <w:rPr>
          <w:rFonts w:hint="eastAsia" w:ascii="Times New Roman" w:hAnsi="Times New Roman" w:eastAsia="黑体"/>
          <w:color w:val="222222"/>
          <w:kern w:val="0"/>
          <w:sz w:val="32"/>
          <w:szCs w:val="32"/>
        </w:rPr>
        <w:t>情况</w:t>
      </w:r>
    </w:p>
    <w:p>
      <w:pPr>
        <w:spacing w:line="600" w:lineRule="exact"/>
        <w:ind w:firstLine="640" w:firstLineChars="200"/>
        <w:rPr>
          <w:rFonts w:hint="eastAsia" w:eastAsia="楷体_GB2312"/>
          <w:sz w:val="32"/>
          <w:szCs w:val="32"/>
        </w:rPr>
      </w:pPr>
      <w:r>
        <w:rPr>
          <w:rFonts w:hint="eastAsia" w:eastAsia="楷体_GB2312"/>
          <w:sz w:val="32"/>
          <w:szCs w:val="32"/>
        </w:rPr>
        <w:t>（一）绩效目标完成情况</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1.确保市直行政编制不突破省里下达限额，事业编制不突破2012年总量。</w:t>
      </w:r>
      <w:r>
        <w:rPr>
          <w:rFonts w:hint="eastAsia" w:ascii="仿宋_GB2312" w:hAnsi="仿宋_GB2312" w:eastAsia="仿宋_GB2312" w:cs="仿宋_GB2312"/>
          <w:sz w:val="32"/>
          <w:szCs w:val="32"/>
          <w:lang w:val="en-US" w:eastAsia="zh-CN"/>
        </w:rPr>
        <w:t>目标完成。</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2.开展机构编制业务培训</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次；开展中心组学习活动</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次；开展主题党日活动</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次；开展志愿者服务活动</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次；开展文明创建活动</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lang w:val="en-US" w:eastAsia="zh-CN"/>
        </w:rPr>
        <w:t>目标未完成。</w:t>
      </w:r>
    </w:p>
    <w:p>
      <w:pPr>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3.确保市直事业单位法人年度报告审核率达</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目标完成。</w:t>
      </w:r>
    </w:p>
    <w:p>
      <w:p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4.确保市直行政事业单位中文域名注册覆盖率达</w:t>
      </w:r>
      <w:r>
        <w:rPr>
          <w:rFonts w:hint="eastAsia" w:ascii="仿宋_GB2312" w:hAnsi="仿宋_GB2312" w:eastAsia="仿宋_GB2312" w:cs="仿宋_GB2312"/>
          <w:sz w:val="32"/>
          <w:szCs w:val="32"/>
          <w:lang w:val="en-US" w:eastAsia="zh-CN"/>
        </w:rPr>
        <w:t>90</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目标完成。</w:t>
      </w:r>
    </w:p>
    <w:p>
      <w:pPr>
        <w:spacing w:line="600" w:lineRule="exact"/>
        <w:ind w:firstLine="640" w:firstLineChars="200"/>
        <w:rPr>
          <w:rFonts w:hint="eastAsia" w:eastAsia="楷体_GB2312"/>
          <w:sz w:val="32"/>
          <w:szCs w:val="32"/>
        </w:rPr>
      </w:pPr>
      <w:r>
        <w:rPr>
          <w:rFonts w:hint="eastAsia" w:eastAsia="楷体_GB2312"/>
          <w:sz w:val="32"/>
          <w:szCs w:val="32"/>
        </w:rPr>
        <w:t>（二）取得的效益</w:t>
      </w:r>
    </w:p>
    <w:p>
      <w:p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完善规范性文件审查备案制度。制发常德市区县（市）及市属特定区域机构编制规范性文件备案审查办法,收集审核各区县（市）和市属特定区域规范性文件目录127份。优化机构编制事项审批服务流程。研究制定《关于规范机构编制申报事项的实施意见》《机构编制审批和服务流程》《市委编办审批服务事项清单》等配套制度，完成15个大项、32个小项的审批和服务流程编制工作，推动业务工作由过去主要围绕部门单位、编制职数转，逐步变为围绕热点难点、职能职责转。优化窗口服务。进一步完善《常德市登记管理服务指南》等对外审批服务事项，编制《登记管理行政审批服务工作流程》等，以图文形式进行详细说明，让办事人员“一看就懂，一看就会”，有效避免了重复修改、多次往返退件的情况。</w:t>
      </w:r>
    </w:p>
    <w:p>
      <w:p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加强动态调整，严控编制总量管理。</w:t>
      </w:r>
      <w:bookmarkStart w:id="0" w:name="OLE_LINK2"/>
      <w:r>
        <w:rPr>
          <w:rFonts w:hint="eastAsia" w:ascii="仿宋_GB2312" w:hAnsi="仿宋_GB2312" w:eastAsia="仿宋_GB2312" w:cs="仿宋_GB2312"/>
          <w:sz w:val="32"/>
          <w:szCs w:val="32"/>
          <w:lang w:val="en-US" w:eastAsia="zh-CN"/>
        </w:rPr>
        <w:t>坚持“严控总量、统筹使用、科学增减”原则，加大编制内部挖潜力度，一年来，撤销机构28家，设立机构15家，机构更名12家，新增编制44名，核增正副科级领导职数274名，在部门内调剂使用编制553名，核增人员控制数439名，收回市政建设总公司、市规划建筑设计院、市建筑勘测设计院等单位的事业编制292名。2020年累计审批编制使用核准1671名，办理入编手续1515人次，人员划转手续885人次，人员出编手续1285人次，审核单位申报人员信息异动6345人次。</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lang w:val="en-US" w:eastAsia="zh-CN"/>
        </w:rPr>
        <w:t>加强编制资源统筹力度，重点推动编制资源向医疗卫生、应急管理、基础教育、产业发展等重点民生领域倾斜。紧扣中心大局，持续服务人才引进。</w:t>
      </w:r>
      <w:r>
        <w:rPr>
          <w:rFonts w:hint="eastAsia" w:ascii="仿宋_GB2312" w:hAnsi="仿宋_GB2312" w:eastAsia="仿宋_GB2312" w:cs="仿宋_GB2312"/>
          <w:sz w:val="32"/>
          <w:szCs w:val="32"/>
        </w:rPr>
        <w:t>顺应机构编制工作领导体制和工作机制的新变化，市委编委批准设立的300名人才引进专项编制，已安排使用234名，其中154名投放到开放强市产业立市重点工作涉及的13个牵头部门和17个责任部门（单位），占比高达66%。据统计，今年市直非参管事业单位共办理进人用编手续680余人次，除补充领导干部外，各类人才引进比例高达76%。</w:t>
      </w:r>
      <w:bookmarkEnd w:id="0"/>
      <w:r>
        <w:rPr>
          <w:rFonts w:hint="eastAsia" w:ascii="仿宋_GB2312" w:hAnsi="仿宋_GB2312" w:eastAsia="仿宋_GB2312" w:cs="仿宋_GB2312"/>
          <w:sz w:val="32"/>
          <w:szCs w:val="32"/>
          <w:lang w:val="en-US" w:eastAsia="zh-CN"/>
        </w:rPr>
        <w:t>优化控制数管理，激发队伍活力。为进一步从制度层面规范和优化市直事业单位人员控制数管理，出台了《常德市市直事业单位人员控制数管理和使用暂行办法》，明确和规范使用控制数人员工资福利、职称评定等事项及使用控制数人员转入编内的办理事宜。</w:t>
      </w:r>
    </w:p>
    <w:p>
      <w:pPr>
        <w:ind w:firstLine="640"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不断强化日常监管的刚性约束。开展超审批权限设置机构等问题自查自纠，对市县两级处级、科级行政事业单位进行全面细致摸排，自查整改问题205个。着力构建协同联动的监督合力。积极推动机构编制纳入市委巡察专项检查内容，狠抓机构编制监督检查，严把机构、编制、职数三条红线，切实强化机构编制刚性约束。做优事业单位法人登记。扎实开展事业单位登记管理、机关群团赋码工作，继续推行“不见面”审批，试行事业单位法人简易注销登记。2020年，</w:t>
      </w:r>
      <w:r>
        <w:rPr>
          <w:rFonts w:hint="eastAsia" w:ascii="仿宋_GB2312" w:hAnsi="仿宋_GB2312" w:eastAsia="仿宋_GB2312" w:cs="仿宋_GB2312"/>
          <w:sz w:val="32"/>
          <w:szCs w:val="32"/>
        </w:rPr>
        <w:t>完成事业单位法人年度报告审核462家，年度报告审核通过率达100%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办理事业单位法人设立登记25家，变更登记213家，注销登记30家。</w:t>
      </w:r>
      <w:r>
        <w:rPr>
          <w:rFonts w:hint="eastAsia" w:ascii="仿宋_GB2312" w:hAnsi="仿宋_GB2312" w:eastAsia="仿宋_GB2312" w:cs="仿宋_GB2312"/>
          <w:sz w:val="32"/>
          <w:szCs w:val="32"/>
          <w:lang w:val="en-US" w:eastAsia="zh-CN"/>
        </w:rPr>
        <w:t>规范市直单位临时用工管理。与市人社局、市财政局联合印发《关于市直单位临时用工管理工作的通知》，严格按程序开展计划审核报批工作，全年共办结两批共38家单位临时用工申报事项。</w:t>
      </w:r>
    </w:p>
    <w:p>
      <w:pPr>
        <w:ind w:firstLine="640" w:firstLineChars="200"/>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加强中小学教职工编制管理。研究拟定加强中小学教职工编制创新管理的初步意见，督导各地积极落实中央、省挖潜创新加强中小学教职工编制管理任务，针对12项违纪违规问题，按部门职责分工开展清理整顿，形成问题清单并逐月通报整改落实情况。充分发挥业务平台作用。制定常德市机构编制综合管理平台运行管理办法，根据机构改革以来的新“三定”规定，重新对全市行政单位和事业单位的编制数据进行了梳理和核查，并根据编制调整实际情况，及时进行数据日常更新和维护。调整优化门户网站功能。新开设常德市机构编制信息网“党务工作”“学雷锋志愿服务”“学习先进典型”“模范机关创建”四个栏目，全年累计采集录入信息122篇，其中5篇被省机构编制官网采用，3篇被中央机构编制官网采用，1篇被《中国机构改革与管理》刊发。</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七、存在的主要问题及原因分析</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预算绩效管理的理念还需强化，在开展预算绩效管理的过程中，制定绩效目标、指标和标准比较困难，预算绩效管理工作较为薄弱。</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八、有关建议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加强预算绩效管理意识，</w:t>
      </w:r>
      <w:r>
        <w:rPr>
          <w:rFonts w:hint="eastAsia" w:eastAsia="仿宋" w:cs="Times New Roman"/>
          <w:color w:val="auto"/>
          <w:sz w:val="32"/>
          <w:szCs w:val="32"/>
          <w:highlight w:val="none"/>
          <w:lang w:val="en-US" w:eastAsia="zh-CN"/>
        </w:rPr>
        <w:t>执行绩效管理制度，将资金预算安排与绩效目标相结合，根据单位上年工作完成情况和下年度工作计划或中长期规划，细化、量化年初绩效目标表，并将绩效目标与资金分配挂钩。</w:t>
      </w:r>
      <w:r>
        <w:rPr>
          <w:rFonts w:hint="eastAsia" w:ascii="仿宋_GB2312" w:hAnsi="仿宋_GB2312" w:eastAsia="仿宋_GB2312" w:cs="仿宋_GB2312"/>
          <w:sz w:val="32"/>
          <w:szCs w:val="32"/>
          <w:lang w:val="en-US" w:eastAsia="zh-CN"/>
        </w:rPr>
        <w:t>财政部门加强对各单位进行绩效评价工作的指导和培训。</w:t>
      </w:r>
    </w:p>
    <w:p>
      <w:pPr>
        <w:ind w:firstLine="640" w:firstLineChars="200"/>
        <w:rPr>
          <w:rFonts w:hint="eastAsia" w:ascii="仿宋_GB2312" w:hAnsi="仿宋_GB2312" w:eastAsia="仿宋_GB2312" w:cs="仿宋_GB2312"/>
          <w:sz w:val="32"/>
          <w:szCs w:val="32"/>
          <w:lang w:val="en-US" w:eastAsia="zh-CN"/>
        </w:rPr>
      </w:pPr>
    </w:p>
    <w:p>
      <w:pPr>
        <w:pStyle w:val="2"/>
      </w:pPr>
    </w:p>
    <w:p>
      <w:pPr>
        <w:pStyle w:val="2"/>
      </w:pPr>
    </w:p>
    <w:p>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中共常德市委</w:t>
      </w:r>
      <w:r>
        <w:rPr>
          <w:rFonts w:hint="eastAsia" w:ascii="仿宋_GB2312" w:hAnsi="仿宋_GB2312" w:eastAsia="仿宋_GB2312" w:cs="仿宋_GB2312"/>
          <w:sz w:val="32"/>
          <w:szCs w:val="32"/>
          <w:lang w:val="en-US" w:eastAsia="zh-CN"/>
        </w:rPr>
        <w:t>机构编制委员会办公室</w:t>
      </w:r>
    </w:p>
    <w:p>
      <w:pPr>
        <w:widowControl/>
        <w:spacing w:line="360" w:lineRule="auto"/>
        <w:jc w:val="right"/>
        <w:rPr>
          <w:rFonts w:hint="eastAsia" w:eastAsia="仿宋_GB2312"/>
          <w:color w:val="FFFFFF" w:themeColor="background1"/>
          <w:sz w:val="32"/>
          <w:szCs w:val="32"/>
          <w:lang w:val="en-US" w:eastAsia="zh-CN"/>
          <w14:textFill>
            <w14:solidFill>
              <w14:schemeClr w14:val="bg1"/>
            </w14:solidFill>
          </w14:textFill>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pStyle w:val="2"/>
      </w:pPr>
    </w:p>
    <w:sectPr>
      <w:footerReference r:id="rId3" w:type="default"/>
      <w:pgSz w:w="11906" w:h="16838"/>
      <w:pgMar w:top="2098" w:right="1418"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6C660"/>
    <w:multiLevelType w:val="singleLevel"/>
    <w:tmpl w:val="2AA6C660"/>
    <w:lvl w:ilvl="0" w:tentative="0">
      <w:start w:val="2"/>
      <w:numFmt w:val="chineseCounting"/>
      <w:suff w:val="space"/>
      <w:lvlText w:val="（%1）"/>
      <w:lvlJc w:val="left"/>
      <w:rPr>
        <w:rFonts w:hint="eastAsia"/>
      </w:rPr>
    </w:lvl>
  </w:abstractNum>
  <w:abstractNum w:abstractNumId="1">
    <w:nsid w:val="52B93337"/>
    <w:multiLevelType w:val="singleLevel"/>
    <w:tmpl w:val="52B93337"/>
    <w:lvl w:ilvl="0" w:tentative="0">
      <w:start w:val="4"/>
      <w:numFmt w:val="chineseCounting"/>
      <w:suff w:val="nothing"/>
      <w:lvlText w:val="%1、"/>
      <w:lvlJc w:val="left"/>
      <w:rPr>
        <w:rFonts w:hint="eastAsia"/>
      </w:rPr>
    </w:lvl>
  </w:abstractNum>
  <w:abstractNum w:abstractNumId="2">
    <w:nsid w:val="70DE0984"/>
    <w:multiLevelType w:val="singleLevel"/>
    <w:tmpl w:val="70DE0984"/>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30C17"/>
    <w:rsid w:val="010D5224"/>
    <w:rsid w:val="01D34106"/>
    <w:rsid w:val="024554A0"/>
    <w:rsid w:val="03822A79"/>
    <w:rsid w:val="03A45245"/>
    <w:rsid w:val="04673492"/>
    <w:rsid w:val="04F90EBB"/>
    <w:rsid w:val="068B6C05"/>
    <w:rsid w:val="0764183B"/>
    <w:rsid w:val="09BD1199"/>
    <w:rsid w:val="0CB4285B"/>
    <w:rsid w:val="0D1E1781"/>
    <w:rsid w:val="0D443409"/>
    <w:rsid w:val="0F8C1EDA"/>
    <w:rsid w:val="107A7782"/>
    <w:rsid w:val="10AB4036"/>
    <w:rsid w:val="119D751B"/>
    <w:rsid w:val="125E38E9"/>
    <w:rsid w:val="12BA553D"/>
    <w:rsid w:val="15831A8C"/>
    <w:rsid w:val="16FA1FB9"/>
    <w:rsid w:val="19D274A1"/>
    <w:rsid w:val="1A544725"/>
    <w:rsid w:val="1B963724"/>
    <w:rsid w:val="1B9A3FBF"/>
    <w:rsid w:val="1DA63D0B"/>
    <w:rsid w:val="1EC85FCE"/>
    <w:rsid w:val="1F2C4C54"/>
    <w:rsid w:val="1FE0438C"/>
    <w:rsid w:val="20A157E9"/>
    <w:rsid w:val="21DF5BF1"/>
    <w:rsid w:val="22C30C17"/>
    <w:rsid w:val="22E64D14"/>
    <w:rsid w:val="23C96E13"/>
    <w:rsid w:val="26BE1D5C"/>
    <w:rsid w:val="28E914A0"/>
    <w:rsid w:val="2A633BF7"/>
    <w:rsid w:val="2AF230F3"/>
    <w:rsid w:val="2B8F56A8"/>
    <w:rsid w:val="2B9476AD"/>
    <w:rsid w:val="2BAC7241"/>
    <w:rsid w:val="2D1F6F26"/>
    <w:rsid w:val="2E191B01"/>
    <w:rsid w:val="2E66495E"/>
    <w:rsid w:val="2E847AC6"/>
    <w:rsid w:val="2F4F5F2B"/>
    <w:rsid w:val="30971A5B"/>
    <w:rsid w:val="30B02AC1"/>
    <w:rsid w:val="32066F47"/>
    <w:rsid w:val="321F2253"/>
    <w:rsid w:val="328C2B00"/>
    <w:rsid w:val="34BF08D0"/>
    <w:rsid w:val="367D0844"/>
    <w:rsid w:val="39084E3E"/>
    <w:rsid w:val="3AF70D28"/>
    <w:rsid w:val="3C0813AF"/>
    <w:rsid w:val="3C103694"/>
    <w:rsid w:val="3EC913A4"/>
    <w:rsid w:val="3EE32350"/>
    <w:rsid w:val="3F10135F"/>
    <w:rsid w:val="3F710335"/>
    <w:rsid w:val="42341557"/>
    <w:rsid w:val="42CF440A"/>
    <w:rsid w:val="462944A3"/>
    <w:rsid w:val="46931ED3"/>
    <w:rsid w:val="46AF1F52"/>
    <w:rsid w:val="474342D9"/>
    <w:rsid w:val="484236AC"/>
    <w:rsid w:val="489E6EAA"/>
    <w:rsid w:val="4CEB1102"/>
    <w:rsid w:val="4D125297"/>
    <w:rsid w:val="4D8673B3"/>
    <w:rsid w:val="4EAD2E12"/>
    <w:rsid w:val="4EE97499"/>
    <w:rsid w:val="502B3535"/>
    <w:rsid w:val="50C1356E"/>
    <w:rsid w:val="50F94BBB"/>
    <w:rsid w:val="515D0A51"/>
    <w:rsid w:val="5280451D"/>
    <w:rsid w:val="5425261C"/>
    <w:rsid w:val="55225BBD"/>
    <w:rsid w:val="55475EE4"/>
    <w:rsid w:val="561E6FE7"/>
    <w:rsid w:val="56207326"/>
    <w:rsid w:val="577B1AB6"/>
    <w:rsid w:val="57ED2450"/>
    <w:rsid w:val="595A51D6"/>
    <w:rsid w:val="5B035BFB"/>
    <w:rsid w:val="5B166B1B"/>
    <w:rsid w:val="5BF57664"/>
    <w:rsid w:val="5C326FA2"/>
    <w:rsid w:val="5E635916"/>
    <w:rsid w:val="5E7F5294"/>
    <w:rsid w:val="5F3B5A46"/>
    <w:rsid w:val="5F483187"/>
    <w:rsid w:val="5F4E6A9C"/>
    <w:rsid w:val="5FEB0EAA"/>
    <w:rsid w:val="5FFA3F8A"/>
    <w:rsid w:val="60886898"/>
    <w:rsid w:val="6136305B"/>
    <w:rsid w:val="61AD2086"/>
    <w:rsid w:val="630806AB"/>
    <w:rsid w:val="65235516"/>
    <w:rsid w:val="65BB79FF"/>
    <w:rsid w:val="65FA4F46"/>
    <w:rsid w:val="67EC63F2"/>
    <w:rsid w:val="6870399B"/>
    <w:rsid w:val="68C563D9"/>
    <w:rsid w:val="6A221AD6"/>
    <w:rsid w:val="6B6A6F54"/>
    <w:rsid w:val="6B883C97"/>
    <w:rsid w:val="6C7C3485"/>
    <w:rsid w:val="6D5E53B9"/>
    <w:rsid w:val="6D773BCF"/>
    <w:rsid w:val="6DA842C5"/>
    <w:rsid w:val="6ED60C40"/>
    <w:rsid w:val="6F350C62"/>
    <w:rsid w:val="6F415320"/>
    <w:rsid w:val="700E3BDD"/>
    <w:rsid w:val="794B4389"/>
    <w:rsid w:val="796D5DD3"/>
    <w:rsid w:val="79E90A5B"/>
    <w:rsid w:val="7A400A50"/>
    <w:rsid w:val="7B335B6B"/>
    <w:rsid w:val="7BE64B67"/>
    <w:rsid w:val="7C7209E3"/>
    <w:rsid w:val="7D1F5809"/>
    <w:rsid w:val="7FF54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2021-05-28T07:30:00Z</dcterms:created>
  <dc:creator>DELL</dc:creator>
  <cp:lastModifiedBy>DELL</cp:lastModifiedBy>
  <dcterms:modified xsi:type="dcterms:W3CDTF">2021-08-04T00:42:42Z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