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10CDA">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rPr>
          <w:rFonts w:ascii="Times New Roman" w:hAnsi="Times New Roman" w:eastAsia="方正小标宋_GBK" w:cs="Times New Roman"/>
          <w:color w:val="000000"/>
          <w:sz w:val="44"/>
          <w:lang w:eastAsia="zh-CN"/>
        </w:rPr>
      </w:pPr>
      <w:bookmarkStart w:id="0" w:name="_Toc178124550_WPSOffice_Level1"/>
      <w:bookmarkStart w:id="1" w:name="_Toc678217306_WPSOffice_Level1"/>
      <w:bookmarkStart w:id="2" w:name="_Toc2123423747_WPSOffice_Level1"/>
      <w:bookmarkStart w:id="3" w:name="_Toc1670908148_WPSOffice_Level1"/>
    </w:p>
    <w:p w14:paraId="27A09443">
      <w:pPr>
        <w:pStyle w:val="1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0"/>
      </w:pPr>
    </w:p>
    <w:p w14:paraId="3169FEDA">
      <w:pPr>
        <w:pStyle w:val="13"/>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5099313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4C6A7819">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5B0C7314">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2D46454B">
      <w:pPr>
        <w:pStyle w:val="2"/>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pPr>
    </w:p>
    <w:p w14:paraId="4EC6D649">
      <w:pPr>
        <w:spacing w:line="600" w:lineRule="exact"/>
        <w:jc w:val="center"/>
        <w:rPr>
          <w:rFonts w:ascii="仿宋_GB2312" w:eastAsia="仿宋_GB2312"/>
          <w:sz w:val="32"/>
        </w:rPr>
      </w:pPr>
      <w:r>
        <w:rPr>
          <w:rFonts w:hint="eastAsia" w:ascii="仿宋_GB2312" w:eastAsia="仿宋_GB2312"/>
          <w:sz w:val="32"/>
        </w:rPr>
        <w:t>常财审</w:t>
      </w:r>
      <w:r>
        <w:rPr>
          <w:rFonts w:hint="eastAsia" w:ascii="仿宋_GB2312" w:hAnsi="仿宋_GB2312" w:eastAsia="仿宋_GB2312"/>
          <w:sz w:val="32"/>
        </w:rPr>
        <w:t>〔2025〕预</w:t>
      </w:r>
      <w:r>
        <w:rPr>
          <w:rFonts w:hint="eastAsia" w:ascii="仿宋_GB2312" w:eastAsia="仿宋_GB2312"/>
          <w:sz w:val="32"/>
        </w:rPr>
        <w:t>字</w:t>
      </w:r>
      <w:r>
        <w:rPr>
          <w:rFonts w:hint="eastAsia" w:ascii="仿宋_GB2312" w:eastAsia="仿宋_GB2312"/>
          <w:sz w:val="32"/>
          <w:lang w:val="en-US" w:eastAsia="zh-CN"/>
        </w:rPr>
        <w:t>83</w:t>
      </w:r>
      <w:r>
        <w:rPr>
          <w:rFonts w:hint="eastAsia" w:ascii="仿宋_GB2312" w:eastAsia="仿宋_GB2312"/>
          <w:sz w:val="32"/>
        </w:rPr>
        <w:t>号</w:t>
      </w:r>
    </w:p>
    <w:p w14:paraId="27ED1EE4">
      <w:pPr>
        <w:pStyle w:val="12"/>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0"/>
        <w:rPr>
          <w:rFonts w:ascii="Times New Roman" w:hAnsi="Times New Roman" w:eastAsia="方正小标宋_GBK" w:cs="Times New Roman"/>
          <w:color w:val="000000"/>
          <w:sz w:val="44"/>
          <w:lang w:eastAsia="zh-CN"/>
        </w:rPr>
      </w:pPr>
    </w:p>
    <w:p w14:paraId="51499FA6">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关于屈原公园灌溉系统改造工程</w:t>
      </w:r>
    </w:p>
    <w:p w14:paraId="352A6C43">
      <w:pPr>
        <w:pStyle w:val="12"/>
        <w:spacing w:line="600" w:lineRule="exact"/>
        <w:jc w:val="center"/>
        <w:outlineLvl w:val="0"/>
        <w:rPr>
          <w:rFonts w:hint="eastAsia" w:ascii="宋体" w:hAnsi="宋体" w:eastAsia="宋体" w:cs="宋体"/>
          <w:color w:val="000000"/>
          <w:sz w:val="44"/>
          <w:lang w:eastAsia="zh-CN"/>
        </w:rPr>
      </w:pPr>
      <w:r>
        <w:rPr>
          <w:rFonts w:hint="eastAsia" w:ascii="宋体" w:hAnsi="宋体" w:eastAsia="宋体" w:cs="宋体"/>
          <w:color w:val="000000"/>
          <w:sz w:val="44"/>
          <w:lang w:eastAsia="zh-CN"/>
        </w:rPr>
        <w:t>预算执行的</w:t>
      </w:r>
      <w:bookmarkEnd w:id="0"/>
      <w:bookmarkEnd w:id="1"/>
      <w:bookmarkEnd w:id="2"/>
      <w:bookmarkEnd w:id="3"/>
      <w:r>
        <w:rPr>
          <w:rFonts w:hint="eastAsia" w:ascii="宋体" w:hAnsi="宋体" w:eastAsia="宋体" w:cs="宋体"/>
          <w:color w:val="000000"/>
          <w:sz w:val="44"/>
          <w:lang w:eastAsia="zh-CN"/>
        </w:rPr>
        <w:t>评审报告</w:t>
      </w:r>
    </w:p>
    <w:p w14:paraId="37880DBF">
      <w:pPr>
        <w:spacing w:line="600" w:lineRule="exact"/>
        <w:ind w:firstLine="640" w:firstLineChars="200"/>
        <w:rPr>
          <w:rFonts w:ascii="Times New Roman" w:hAnsi="Times New Roman" w:eastAsia="仿宋_GB2312"/>
          <w:color w:val="000000"/>
          <w:sz w:val="32"/>
          <w:szCs w:val="32"/>
        </w:rPr>
      </w:pPr>
    </w:p>
    <w:p w14:paraId="79843632">
      <w:pPr>
        <w:overflowPunct w:val="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常德市财政局经济建设科</w:t>
      </w:r>
      <w:r>
        <w:rPr>
          <w:rFonts w:hint="eastAsia" w:ascii="仿宋_GB2312" w:hAnsi="仿宋_GB2312" w:eastAsia="仿宋_GB2312" w:cs="仿宋_GB2312"/>
          <w:color w:val="000000"/>
          <w:sz w:val="32"/>
          <w:szCs w:val="32"/>
        </w:rPr>
        <w:t>：</w:t>
      </w:r>
    </w:p>
    <w:p w14:paraId="602005E3">
      <w:pPr>
        <w:keepNext w:val="0"/>
        <w:keepLines w:val="0"/>
        <w:pageBreakBefore w:val="0"/>
        <w:widowControl w:val="0"/>
        <w:kinsoku/>
        <w:wordWrap/>
        <w:overflowPunct w:val="0"/>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《屈原公园灌溉系统改造工程》相关资料收悉，按照客观、公正、科学的评审原则，我中心组织对该项目开展预算执行评审，具体情况如下：</w:t>
      </w:r>
    </w:p>
    <w:p w14:paraId="478EBAB1">
      <w:pPr>
        <w:pStyle w:val="14"/>
        <w:keepNext w:val="0"/>
        <w:keepLines w:val="0"/>
        <w:pageBreakBefore w:val="0"/>
        <w:widowControl w:val="0"/>
        <w:tabs>
          <w:tab w:val="left" w:pos="6266"/>
        </w:tabs>
        <w:kinsoku/>
        <w:wordWrap/>
        <w:topLinePunct w:val="0"/>
        <w:autoSpaceDE/>
        <w:autoSpaceDN/>
        <w:bidi w:val="0"/>
        <w:adjustRightInd/>
        <w:snapToGrid/>
        <w:spacing w:line="540" w:lineRule="exact"/>
        <w:ind w:left="0" w:firstLine="640" w:firstLineChars="200"/>
        <w:textAlignment w:val="auto"/>
        <w:outlineLvl w:val="0"/>
        <w:rPr>
          <w:rFonts w:ascii="黑体" w:hAnsi="黑体" w:eastAsia="黑体" w:cs="黑体"/>
          <w:color w:val="000000"/>
          <w:sz w:val="32"/>
          <w:szCs w:val="32"/>
        </w:rPr>
      </w:pPr>
      <w:bookmarkStart w:id="4" w:name="_Toc891472834_WPSOffice_Level1"/>
      <w:bookmarkStart w:id="5" w:name="_Toc215626143_WPSOffice_Level1"/>
      <w:bookmarkStart w:id="6" w:name="_Toc445877422_WPSOffice_Level1"/>
      <w:bookmarkStart w:id="7" w:name="_Toc1862220243_WPSOffice_Level1"/>
      <w:r>
        <w:rPr>
          <w:rFonts w:hint="eastAsia" w:ascii="黑体" w:hAnsi="黑体" w:eastAsia="黑体" w:cs="黑体"/>
          <w:color w:val="000000"/>
          <w:sz w:val="32"/>
          <w:szCs w:val="32"/>
        </w:rPr>
        <w:t>一、项目概况</w:t>
      </w:r>
      <w:bookmarkEnd w:id="4"/>
      <w:bookmarkEnd w:id="5"/>
      <w:bookmarkEnd w:id="6"/>
      <w:bookmarkEnd w:id="7"/>
    </w:p>
    <w:p w14:paraId="499D015A">
      <w:pPr>
        <w:keepNext w:val="0"/>
        <w:keepLines w:val="0"/>
        <w:pageBreakBefore w:val="0"/>
        <w:widowControl w:val="0"/>
        <w:kinsoku/>
        <w:wordWrap/>
        <w:topLinePunct w:val="0"/>
        <w:autoSpaceDE/>
        <w:autoSpaceDN/>
        <w:bidi w:val="0"/>
        <w:adjustRightInd/>
        <w:snapToGrid/>
        <w:spacing w:line="540" w:lineRule="exact"/>
        <w:ind w:left="0" w:firstLine="643" w:firstLineChars="200"/>
        <w:textAlignment w:val="auto"/>
        <w:outlineLvl w:val="1"/>
        <w:rPr>
          <w:rFonts w:ascii="Times New Roman" w:hAnsi="Times New Roman" w:eastAsia="楷体_GB2312"/>
          <w:b/>
          <w:bCs/>
          <w:sz w:val="32"/>
          <w:szCs w:val="32"/>
        </w:rPr>
      </w:pPr>
      <w:bookmarkStart w:id="8" w:name="_Toc1067922961_WPSOffice_Level2"/>
      <w:bookmarkStart w:id="9" w:name="_Toc222933592_WPSOffice_Level2"/>
      <w:bookmarkStart w:id="10" w:name="_Toc90632560_WPSOffice_Level2"/>
      <w:bookmarkStart w:id="11" w:name="_Toc472741964_WPSOffice_Level2"/>
      <w:r>
        <w:rPr>
          <w:rFonts w:ascii="Times New Roman" w:hAnsi="Times New Roman" w:eastAsia="楷体_GB2312"/>
          <w:b/>
          <w:bCs/>
          <w:sz w:val="32"/>
          <w:szCs w:val="32"/>
        </w:rPr>
        <w:t>（一）项目基本情况</w:t>
      </w:r>
      <w:bookmarkEnd w:id="8"/>
      <w:bookmarkEnd w:id="9"/>
      <w:bookmarkEnd w:id="10"/>
      <w:bookmarkEnd w:id="11"/>
    </w:p>
    <w:p w14:paraId="2749A680">
      <w:pPr>
        <w:keepNext w:val="0"/>
        <w:keepLines w:val="0"/>
        <w:pageBreakBefore w:val="0"/>
        <w:widowControl w:val="0"/>
        <w:kinsoku/>
        <w:wordWrap/>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项目根据市领导签批的《常德市城市管理和综合执法局&lt;关于2025年度园林绿化专项资金项目细化的请示&gt;》（常城管〔2025〕19号）立项，属于2025年部门预算安排的园林绿化提质改造专项资金内容之一。</w:t>
      </w:r>
    </w:p>
    <w:p w14:paraId="588865F8">
      <w:pPr>
        <w:keepNext w:val="0"/>
        <w:keepLines w:val="0"/>
        <w:pageBreakBefore w:val="0"/>
        <w:widowControl w:val="0"/>
        <w:kinsoku/>
        <w:wordWrap/>
        <w:topLinePunct w:val="0"/>
        <w:autoSpaceDE/>
        <w:autoSpaceDN/>
        <w:bidi w:val="0"/>
        <w:adjustRightInd/>
        <w:snapToGrid/>
        <w:spacing w:line="540" w:lineRule="exact"/>
        <w:ind w:left="0" w:firstLine="643" w:firstLineChars="200"/>
        <w:textAlignment w:val="auto"/>
        <w:outlineLvl w:val="1"/>
        <w:rPr>
          <w:rFonts w:ascii="Times New Roman" w:hAnsi="Times New Roman" w:eastAsia="楷体_GB2312"/>
          <w:b/>
          <w:bCs/>
          <w:sz w:val="32"/>
          <w:szCs w:val="32"/>
        </w:rPr>
      </w:pPr>
      <w:bookmarkStart w:id="12" w:name="_Toc1446308865_WPSOffice_Level2"/>
      <w:bookmarkStart w:id="13" w:name="_Toc1094448419_WPSOffice_Level2"/>
      <w:bookmarkStart w:id="14" w:name="_Toc830963703_WPSOffice_Level2"/>
      <w:bookmarkStart w:id="15" w:name="_Toc1069041809_WPSOffice_Level2"/>
    </w:p>
    <w:p w14:paraId="4F8536F2">
      <w:pPr>
        <w:keepNext w:val="0"/>
        <w:keepLines w:val="0"/>
        <w:pageBreakBefore w:val="0"/>
        <w:widowControl w:val="0"/>
        <w:kinsoku/>
        <w:wordWrap/>
        <w:topLinePunct w:val="0"/>
        <w:autoSpaceDE/>
        <w:autoSpaceDN/>
        <w:bidi w:val="0"/>
        <w:adjustRightInd/>
        <w:snapToGrid/>
        <w:spacing w:line="540" w:lineRule="exact"/>
        <w:ind w:left="0" w:firstLine="643" w:firstLineChars="200"/>
        <w:textAlignment w:val="auto"/>
        <w:outlineLvl w:val="1"/>
        <w:rPr>
          <w:rFonts w:ascii="Times New Roman" w:hAnsi="Times New Roman" w:eastAsia="楷体_GB2312"/>
          <w:b/>
          <w:bCs/>
          <w:sz w:val="32"/>
          <w:szCs w:val="32"/>
        </w:rPr>
      </w:pPr>
      <w:r>
        <w:rPr>
          <w:rFonts w:ascii="Times New Roman" w:hAnsi="Times New Roman" w:eastAsia="楷体_GB2312"/>
          <w:b/>
          <w:bCs/>
          <w:sz w:val="32"/>
          <w:szCs w:val="32"/>
        </w:rPr>
        <w:t>（二）项目主要内容及申报预算情况</w:t>
      </w:r>
      <w:bookmarkEnd w:id="12"/>
      <w:bookmarkEnd w:id="13"/>
      <w:bookmarkEnd w:id="14"/>
      <w:bookmarkEnd w:id="15"/>
    </w:p>
    <w:p w14:paraId="0E35B847">
      <w:pPr>
        <w:keepNext w:val="0"/>
        <w:keepLines w:val="0"/>
        <w:pageBreakBefore w:val="0"/>
        <w:widowControl w:val="0"/>
        <w:kinsoku/>
        <w:wordWrap/>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为解决屈原公园植物干旱给水问题，常德市园林绿化服务中心申报对屈原公园内安装P</w:t>
      </w:r>
      <w:r>
        <w:rPr>
          <w:rFonts w:ascii="仿宋_GB2312" w:hAnsi="仿宋_GB2312" w:eastAsia="仿宋_GB2312" w:cs="仿宋_GB2312"/>
          <w:color w:val="000000"/>
          <w:sz w:val="32"/>
          <w:szCs w:val="32"/>
        </w:rPr>
        <w:t>PR</w:t>
      </w:r>
      <w:r>
        <w:rPr>
          <w:rFonts w:hint="eastAsia" w:ascii="仿宋_GB2312" w:hAnsi="仿宋_GB2312" w:eastAsia="仿宋_GB2312" w:cs="仿宋_GB2312"/>
          <w:color w:val="000000"/>
          <w:sz w:val="32"/>
          <w:szCs w:val="32"/>
        </w:rPr>
        <w:t>塑料给水管约4</w:t>
      </w:r>
      <w:r>
        <w:rPr>
          <w:rFonts w:ascii="仿宋_GB2312" w:hAnsi="仿宋_GB2312" w:eastAsia="仿宋_GB2312" w:cs="仿宋_GB2312"/>
          <w:color w:val="000000"/>
          <w:sz w:val="32"/>
          <w:szCs w:val="32"/>
        </w:rPr>
        <w:t>000</w:t>
      </w:r>
      <w:r>
        <w:rPr>
          <w:rFonts w:hint="eastAsia" w:ascii="仿宋_GB2312" w:hAnsi="仿宋_GB2312" w:eastAsia="仿宋_GB2312" w:cs="仿宋_GB2312"/>
          <w:color w:val="000000"/>
          <w:sz w:val="32"/>
          <w:szCs w:val="32"/>
        </w:rPr>
        <w:t>m</w:t>
      </w:r>
      <w:r>
        <w:rPr>
          <w:rFonts w:ascii="仿宋_GB2312" w:hAnsi="仿宋_GB2312" w:eastAsia="仿宋_GB2312" w:cs="仿宋_GB2312"/>
          <w:color w:val="000000"/>
          <w:sz w:val="32"/>
          <w:szCs w:val="32"/>
        </w:rPr>
        <w:t>,DN100</w:t>
      </w:r>
      <w:r>
        <w:rPr>
          <w:rFonts w:hint="eastAsia" w:ascii="仿宋_GB2312" w:hAnsi="仿宋_GB2312" w:eastAsia="仿宋_GB2312" w:cs="仿宋_GB2312"/>
          <w:color w:val="000000"/>
          <w:sz w:val="32"/>
          <w:szCs w:val="32"/>
        </w:rPr>
        <w:t>镀锌钢管约1</w:t>
      </w:r>
      <w:r>
        <w:rPr>
          <w:rFonts w:ascii="仿宋_GB2312" w:hAnsi="仿宋_GB2312" w:eastAsia="仿宋_GB2312" w:cs="仿宋_GB2312"/>
          <w:color w:val="000000"/>
          <w:sz w:val="32"/>
          <w:szCs w:val="32"/>
        </w:rPr>
        <w:t>50m,</w:t>
      </w:r>
      <w:r>
        <w:rPr>
          <w:rFonts w:hint="eastAsia" w:ascii="仿宋_GB2312" w:hAnsi="仿宋_GB2312" w:eastAsia="仿宋_GB2312" w:cs="仿宋_GB2312"/>
          <w:color w:val="000000"/>
          <w:sz w:val="32"/>
          <w:szCs w:val="32"/>
        </w:rPr>
        <w:t>增压不锈钢提升泵1</w:t>
      </w:r>
      <w:r>
        <w:rPr>
          <w:rFonts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rPr>
        <w:t>台，铺设电缆约1</w:t>
      </w:r>
      <w:r>
        <w:rPr>
          <w:rFonts w:ascii="仿宋_GB2312" w:hAnsi="仿宋_GB2312" w:eastAsia="仿宋_GB2312" w:cs="仿宋_GB2312"/>
          <w:color w:val="000000"/>
          <w:sz w:val="32"/>
          <w:szCs w:val="32"/>
        </w:rPr>
        <w:t>000m</w:t>
      </w:r>
      <w:r>
        <w:rPr>
          <w:rFonts w:hint="eastAsia" w:ascii="仿宋_GB2312" w:hAnsi="仿宋_GB2312" w:eastAsia="仿宋_GB2312" w:cs="仿宋_GB2312"/>
          <w:color w:val="000000"/>
          <w:sz w:val="32"/>
          <w:szCs w:val="32"/>
        </w:rPr>
        <w:t>。估算资金约</w:t>
      </w:r>
      <w:r>
        <w:rPr>
          <w:rFonts w:ascii="仿宋_GB2312" w:hAnsi="仿宋_GB2312" w:eastAsia="仿宋_GB2312" w:cs="仿宋_GB2312"/>
          <w:color w:val="000000"/>
          <w:sz w:val="32"/>
          <w:szCs w:val="32"/>
        </w:rPr>
        <w:t>50</w:t>
      </w:r>
      <w:r>
        <w:rPr>
          <w:rFonts w:hint="eastAsia" w:ascii="仿宋_GB2312" w:hAnsi="仿宋_GB2312" w:eastAsia="仿宋_GB2312" w:cs="仿宋_GB2312"/>
          <w:color w:val="000000"/>
          <w:sz w:val="32"/>
          <w:szCs w:val="32"/>
        </w:rPr>
        <w:t>万元。</w:t>
      </w:r>
    </w:p>
    <w:p w14:paraId="56ED41FE">
      <w:pPr>
        <w:pStyle w:val="14"/>
        <w:keepNext w:val="0"/>
        <w:keepLines w:val="0"/>
        <w:pageBreakBefore w:val="0"/>
        <w:widowControl w:val="0"/>
        <w:tabs>
          <w:tab w:val="left" w:pos="6266"/>
        </w:tabs>
        <w:kinsoku/>
        <w:wordWrap/>
        <w:topLinePunct w:val="0"/>
        <w:autoSpaceDE/>
        <w:autoSpaceDN/>
        <w:bidi w:val="0"/>
        <w:adjustRightInd/>
        <w:snapToGrid/>
        <w:spacing w:line="540" w:lineRule="exact"/>
        <w:ind w:left="0" w:firstLine="640" w:firstLineChars="200"/>
        <w:textAlignment w:val="auto"/>
        <w:outlineLvl w:val="0"/>
        <w:rPr>
          <w:rFonts w:ascii="黑体" w:hAnsi="黑体" w:eastAsia="黑体" w:cs="黑体"/>
          <w:color w:val="000000"/>
          <w:sz w:val="32"/>
          <w:szCs w:val="32"/>
        </w:rPr>
      </w:pPr>
      <w:bookmarkStart w:id="16" w:name="_Toc581615128_WPSOffice_Level1"/>
      <w:bookmarkStart w:id="17" w:name="_Toc976241670_WPSOffice_Level1"/>
      <w:bookmarkStart w:id="18" w:name="_Toc182692291_WPSOffice_Level1"/>
      <w:bookmarkStart w:id="19" w:name="_Toc1890145904_WPSOffice_Level1"/>
      <w:r>
        <w:rPr>
          <w:rFonts w:hint="eastAsia" w:ascii="黑体" w:hAnsi="黑体" w:eastAsia="黑体" w:cs="黑体"/>
          <w:color w:val="000000"/>
          <w:sz w:val="32"/>
          <w:szCs w:val="32"/>
        </w:rPr>
        <w:t>二、评审依据</w:t>
      </w:r>
      <w:bookmarkEnd w:id="16"/>
      <w:bookmarkEnd w:id="17"/>
      <w:bookmarkEnd w:id="18"/>
      <w:bookmarkEnd w:id="19"/>
    </w:p>
    <w:p w14:paraId="67099E57">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sz w:val="32"/>
          <w:szCs w:val="32"/>
        </w:rPr>
      </w:pPr>
      <w:r>
        <w:rPr>
          <w:rFonts w:hint="eastAsia" w:ascii="仿宋_GB2312" w:hAnsi="仿宋_GB2312" w:cs="仿宋_GB2312"/>
          <w:sz w:val="32"/>
          <w:szCs w:val="32"/>
        </w:rPr>
        <w:t>《中华人民共和国预算法》《中华人民共和国预算法实施条例》</w:t>
      </w:r>
      <w:r>
        <w:rPr>
          <w:rFonts w:hint="eastAsia" w:ascii="仿宋_GB2312" w:hAnsi="仿宋_GB2312" w:cs="仿宋_GB2312"/>
          <w:bCs/>
          <w:sz w:val="32"/>
          <w:szCs w:val="32"/>
        </w:rPr>
        <w:t>等法律法规。</w:t>
      </w:r>
    </w:p>
    <w:p w14:paraId="016BF95F">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sz w:val="32"/>
          <w:szCs w:val="32"/>
        </w:rPr>
        <w:t>湖南省住房和城乡建设厅《关于执行&lt;建设工程工程量清单计价标准&gt;及配套工程量计算标准的通知》（湘建科函〔</w:t>
      </w:r>
      <w:r>
        <w:rPr>
          <w:rFonts w:ascii="仿宋_GB2312" w:hAnsi="仿宋_GB2312" w:cs="仿宋_GB2312"/>
          <w:sz w:val="32"/>
          <w:szCs w:val="32"/>
        </w:rPr>
        <w:t>2025</w:t>
      </w:r>
      <w:r>
        <w:rPr>
          <w:rFonts w:hint="eastAsia" w:ascii="仿宋_GB2312" w:hAnsi="仿宋_GB2312" w:cs="仿宋_GB2312"/>
          <w:sz w:val="32"/>
          <w:szCs w:val="32"/>
        </w:rPr>
        <w:t>〕</w:t>
      </w:r>
      <w:r>
        <w:rPr>
          <w:rFonts w:ascii="仿宋_GB2312" w:hAnsi="仿宋_GB2312" w:cs="仿宋_GB2312"/>
          <w:sz w:val="32"/>
          <w:szCs w:val="32"/>
        </w:rPr>
        <w:t>15</w:t>
      </w:r>
      <w:r>
        <w:rPr>
          <w:rFonts w:hint="eastAsia" w:ascii="仿宋_GB2312" w:hAnsi="仿宋_GB2312" w:cs="仿宋_GB2312"/>
          <w:sz w:val="32"/>
          <w:szCs w:val="32"/>
        </w:rPr>
        <w:t>0号）。</w:t>
      </w:r>
    </w:p>
    <w:p w14:paraId="770C4D1D">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sz w:val="32"/>
          <w:szCs w:val="32"/>
        </w:rPr>
        <w:t>湖南省住房和城乡建设厅《关于发布</w:t>
      </w:r>
      <w:r>
        <w:rPr>
          <w:rFonts w:ascii="仿宋_GB2312" w:hAnsi="仿宋_GB2312" w:cs="仿宋_GB2312"/>
          <w:sz w:val="32"/>
          <w:szCs w:val="32"/>
        </w:rPr>
        <w:t>2025</w:t>
      </w:r>
      <w:r>
        <w:rPr>
          <w:rFonts w:hint="eastAsia" w:ascii="仿宋_GB2312" w:hAnsi="仿宋_GB2312" w:cs="仿宋_GB2312"/>
          <w:sz w:val="32"/>
          <w:szCs w:val="32"/>
        </w:rPr>
        <w:t>&lt;湖南省建设工程消耗量标准&gt;的通知》（湘建科函〔</w:t>
      </w:r>
      <w:r>
        <w:rPr>
          <w:rFonts w:ascii="仿宋_GB2312" w:hAnsi="仿宋_GB2312" w:cs="仿宋_GB2312"/>
          <w:sz w:val="32"/>
          <w:szCs w:val="32"/>
        </w:rPr>
        <w:t>2025</w:t>
      </w:r>
      <w:r>
        <w:rPr>
          <w:rFonts w:hint="eastAsia" w:ascii="仿宋_GB2312" w:hAnsi="仿宋_GB2312" w:cs="仿宋_GB2312"/>
          <w:sz w:val="32"/>
          <w:szCs w:val="32"/>
        </w:rPr>
        <w:t>〕</w:t>
      </w:r>
      <w:r>
        <w:rPr>
          <w:rFonts w:ascii="仿宋_GB2312" w:hAnsi="仿宋_GB2312" w:cs="仿宋_GB2312"/>
          <w:sz w:val="32"/>
          <w:szCs w:val="32"/>
        </w:rPr>
        <w:t>151</w:t>
      </w:r>
      <w:r>
        <w:rPr>
          <w:rFonts w:hint="eastAsia" w:ascii="仿宋_GB2312" w:hAnsi="仿宋_GB2312" w:cs="仿宋_GB2312"/>
          <w:sz w:val="32"/>
          <w:szCs w:val="32"/>
        </w:rPr>
        <w:t>号）</w:t>
      </w:r>
      <w:r>
        <w:rPr>
          <w:rFonts w:hint="eastAsia" w:ascii="仿宋_GB2312" w:hAnsi="仿宋_GB2312" w:cs="仿宋_GB2312"/>
          <w:color w:val="000000"/>
          <w:sz w:val="32"/>
          <w:szCs w:val="32"/>
        </w:rPr>
        <w:t>。</w:t>
      </w:r>
    </w:p>
    <w:p w14:paraId="2DF745C0">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常德市城市管理和综合执法局《关于2025年度园林绿化专项资金项目细化的请示》（常城管〔2025〕19号）。</w:t>
      </w:r>
    </w:p>
    <w:p w14:paraId="023BA61A">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outlineLvl w:val="1"/>
        <w:rPr>
          <w:rFonts w:ascii="仿宋_GB2312" w:hAnsi="仿宋_GB2312" w:cs="仿宋_GB2312"/>
          <w:sz w:val="32"/>
          <w:szCs w:val="32"/>
        </w:rPr>
      </w:pPr>
      <w:bookmarkStart w:id="20" w:name="_Toc479871566_WPSOffice_Level2"/>
      <w:bookmarkStart w:id="21" w:name="_Toc333544456_WPSOffice_Level2"/>
      <w:bookmarkStart w:id="22" w:name="_Toc680724078_WPSOffice_Level2"/>
      <w:bookmarkStart w:id="23" w:name="_Toc450291478_WPSOffice_Level2"/>
      <w:r>
        <w:rPr>
          <w:rFonts w:hint="eastAsia" w:ascii="仿宋_GB2312" w:hAnsi="仿宋_GB2312" w:cs="仿宋_GB2312"/>
          <w:sz w:val="32"/>
          <w:szCs w:val="32"/>
        </w:rPr>
        <w:t>常德市建设工程造价管理站《关于公布常德市二○二五年第十期建设工程材料市场综合价的通知》（</w:t>
      </w:r>
      <w:r>
        <w:rPr>
          <w:rFonts w:hint="eastAsia" w:ascii="仿宋_GB2312"/>
          <w:sz w:val="32"/>
          <w:szCs w:val="32"/>
        </w:rPr>
        <w:t>常建价〔2025〕14号</w:t>
      </w:r>
      <w:r>
        <w:rPr>
          <w:rFonts w:hint="eastAsia" w:ascii="仿宋_GB2312" w:hAnsi="仿宋_GB2312" w:cs="仿宋_GB2312"/>
          <w:sz w:val="32"/>
          <w:szCs w:val="32"/>
        </w:rPr>
        <w:t>）及市场价格。</w:t>
      </w:r>
      <w:bookmarkEnd w:id="20"/>
      <w:bookmarkEnd w:id="21"/>
      <w:bookmarkEnd w:id="22"/>
      <w:bookmarkEnd w:id="23"/>
    </w:p>
    <w:p w14:paraId="455FF4A2">
      <w:pPr>
        <w:pStyle w:val="35"/>
        <w:keepNext w:val="0"/>
        <w:keepLines w:val="0"/>
        <w:pageBreakBefore w:val="0"/>
        <w:widowControl w:val="0"/>
        <w:numPr>
          <w:ilvl w:val="0"/>
          <w:numId w:val="1"/>
        </w:numPr>
        <w:kinsoku/>
        <w:wordWrap/>
        <w:topLinePunct w:val="0"/>
        <w:autoSpaceDE/>
        <w:autoSpaceDN/>
        <w:bidi w:val="0"/>
        <w:adjustRightInd/>
        <w:snapToGrid/>
        <w:spacing w:line="540" w:lineRule="exact"/>
        <w:ind w:left="0" w:firstLine="640" w:firstLineChars="200"/>
        <w:textAlignment w:val="auto"/>
        <w:outlineLvl w:val="2"/>
        <w:rPr>
          <w:rFonts w:ascii="仿宋_GB2312" w:hAnsi="仿宋_GB2312" w:cs="仿宋_GB2312"/>
          <w:sz w:val="32"/>
          <w:szCs w:val="32"/>
        </w:rPr>
      </w:pPr>
      <w:bookmarkStart w:id="24" w:name="_Toc863367060_WPSOffice_Level3"/>
      <w:r>
        <w:rPr>
          <w:rFonts w:hint="eastAsia" w:ascii="仿宋_GB2312" w:hAnsi="仿宋_GB2312" w:cs="仿宋_GB2312"/>
          <w:sz w:val="32"/>
          <w:szCs w:val="32"/>
        </w:rPr>
        <w:t>其他有关资料。</w:t>
      </w:r>
      <w:bookmarkEnd w:id="24"/>
    </w:p>
    <w:p w14:paraId="0D38C5BF">
      <w:pPr>
        <w:pStyle w:val="14"/>
        <w:keepNext w:val="0"/>
        <w:keepLines w:val="0"/>
        <w:pageBreakBefore w:val="0"/>
        <w:widowControl w:val="0"/>
        <w:tabs>
          <w:tab w:val="left" w:pos="6266"/>
        </w:tabs>
        <w:kinsoku/>
        <w:wordWrap/>
        <w:topLinePunct w:val="0"/>
        <w:autoSpaceDE/>
        <w:autoSpaceDN/>
        <w:bidi w:val="0"/>
        <w:adjustRightInd/>
        <w:snapToGrid/>
        <w:spacing w:line="540" w:lineRule="exact"/>
        <w:ind w:left="0" w:firstLine="640" w:firstLineChars="200"/>
        <w:textAlignment w:val="auto"/>
        <w:outlineLvl w:val="0"/>
        <w:rPr>
          <w:rFonts w:ascii="黑体" w:hAnsi="黑体" w:eastAsia="黑体" w:cs="黑体"/>
          <w:color w:val="000000"/>
          <w:sz w:val="32"/>
          <w:szCs w:val="32"/>
        </w:rPr>
      </w:pPr>
      <w:bookmarkStart w:id="25" w:name="_Toc757239869_WPSOffice_Level1"/>
      <w:bookmarkStart w:id="26" w:name="_Toc913869554_WPSOffice_Level1"/>
      <w:bookmarkStart w:id="27" w:name="_Toc1699738589_WPSOffice_Level1"/>
      <w:bookmarkStart w:id="28" w:name="_Toc1890271026_WPSOffice_Level1"/>
      <w:r>
        <w:rPr>
          <w:rFonts w:hint="eastAsia" w:ascii="黑体" w:hAnsi="黑体" w:eastAsia="黑体" w:cs="黑体"/>
          <w:color w:val="000000"/>
          <w:sz w:val="32"/>
          <w:szCs w:val="32"/>
        </w:rPr>
        <w:t>三、评审结论</w:t>
      </w:r>
      <w:bookmarkEnd w:id="25"/>
      <w:bookmarkEnd w:id="26"/>
      <w:bookmarkEnd w:id="27"/>
      <w:bookmarkEnd w:id="28"/>
    </w:p>
    <w:p w14:paraId="5606E12A">
      <w:pPr>
        <w:keepNext w:val="0"/>
        <w:keepLines w:val="0"/>
        <w:pageBreakBefore w:val="0"/>
        <w:widowControl w:val="0"/>
        <w:kinsoku/>
        <w:wordWrap/>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该工程施工图预算送审金额为</w:t>
      </w:r>
      <w:r>
        <w:rPr>
          <w:rFonts w:ascii="仿宋_GB2312" w:hAnsi="仿宋_GB2312" w:eastAsia="仿宋_GB2312" w:cs="仿宋_GB2312"/>
          <w:color w:val="000000"/>
          <w:sz w:val="32"/>
          <w:szCs w:val="32"/>
        </w:rPr>
        <w:t>522022</w:t>
      </w:r>
      <w:r>
        <w:rPr>
          <w:rFonts w:hint="eastAsia" w:ascii="仿宋_GB2312" w:hAnsi="仿宋_GB2312" w:eastAsia="仿宋_GB2312" w:cs="仿宋_GB2312"/>
          <w:color w:val="000000"/>
          <w:sz w:val="32"/>
          <w:szCs w:val="32"/>
        </w:rPr>
        <w:t>元，审定金额为</w:t>
      </w:r>
      <w:r>
        <w:rPr>
          <w:rFonts w:ascii="仿宋_GB2312" w:hAnsi="仿宋_GB2312" w:eastAsia="仿宋_GB2312" w:cs="仿宋_GB2312"/>
          <w:color w:val="000000"/>
          <w:sz w:val="32"/>
          <w:szCs w:val="32"/>
        </w:rPr>
        <w:t>497005</w:t>
      </w:r>
      <w:r>
        <w:rPr>
          <w:rFonts w:hint="eastAsia" w:ascii="仿宋_GB2312" w:hAnsi="仿宋_GB2312" w:eastAsia="仿宋_GB2312" w:cs="仿宋_GB2312"/>
          <w:color w:val="000000"/>
          <w:sz w:val="32"/>
          <w:szCs w:val="32"/>
        </w:rPr>
        <w:t>元，审减金额为</w:t>
      </w:r>
      <w:r>
        <w:rPr>
          <w:rFonts w:ascii="仿宋_GB2312" w:hAnsi="仿宋_GB2312" w:eastAsia="仿宋_GB2312" w:cs="仿宋_GB2312"/>
          <w:color w:val="000000"/>
          <w:sz w:val="32"/>
          <w:szCs w:val="32"/>
        </w:rPr>
        <w:t>13746</w:t>
      </w:r>
      <w:r>
        <w:rPr>
          <w:rFonts w:hint="eastAsia" w:ascii="仿宋_GB2312" w:hAnsi="仿宋_GB2312" w:eastAsia="仿宋_GB2312" w:cs="仿宋_GB2312"/>
          <w:color w:val="000000"/>
          <w:sz w:val="32"/>
          <w:szCs w:val="32"/>
        </w:rPr>
        <w:t>元。其中：工程费审减</w:t>
      </w:r>
      <w:r>
        <w:rPr>
          <w:rFonts w:ascii="仿宋_GB2312" w:hAnsi="仿宋_GB2312" w:eastAsia="仿宋_GB2312" w:cs="仿宋_GB2312"/>
          <w:color w:val="000000"/>
          <w:sz w:val="32"/>
          <w:szCs w:val="32"/>
        </w:rPr>
        <w:t>23793</w:t>
      </w:r>
      <w:r>
        <w:rPr>
          <w:rFonts w:hint="eastAsia" w:ascii="仿宋_GB2312" w:hAnsi="仿宋_GB2312" w:eastAsia="仿宋_GB2312" w:cs="仿宋_GB2312"/>
          <w:color w:val="000000"/>
          <w:sz w:val="32"/>
          <w:szCs w:val="32"/>
        </w:rPr>
        <w:t>元，前期费审减</w:t>
      </w:r>
      <w:r>
        <w:rPr>
          <w:rFonts w:ascii="仿宋_GB2312" w:hAnsi="仿宋_GB2312" w:eastAsia="仿宋_GB2312" w:cs="仿宋_GB2312"/>
          <w:color w:val="000000"/>
          <w:sz w:val="32"/>
          <w:szCs w:val="32"/>
        </w:rPr>
        <w:t>510</w:t>
      </w:r>
      <w:r>
        <w:rPr>
          <w:rFonts w:hint="eastAsia" w:ascii="仿宋_GB2312" w:hAnsi="仿宋_GB2312" w:eastAsia="仿宋_GB2312" w:cs="仿宋_GB2312"/>
          <w:color w:val="000000"/>
          <w:sz w:val="32"/>
          <w:szCs w:val="32"/>
        </w:rPr>
        <w:t>元，不可预见费审减</w:t>
      </w:r>
      <w:r>
        <w:rPr>
          <w:rFonts w:ascii="仿宋_GB2312" w:hAnsi="仿宋_GB2312" w:eastAsia="仿宋_GB2312" w:cs="仿宋_GB2312"/>
          <w:color w:val="000000"/>
          <w:sz w:val="32"/>
          <w:szCs w:val="32"/>
        </w:rPr>
        <w:t>714</w:t>
      </w:r>
      <w:r>
        <w:rPr>
          <w:rFonts w:hint="eastAsia" w:ascii="仿宋_GB2312" w:hAnsi="仿宋_GB2312" w:eastAsia="仿宋_GB2312" w:cs="仿宋_GB2312"/>
          <w:color w:val="000000"/>
          <w:sz w:val="32"/>
          <w:szCs w:val="32"/>
        </w:rPr>
        <w:t>元。审减主要原因如下：</w:t>
      </w:r>
    </w:p>
    <w:p w14:paraId="4873BA54">
      <w:pPr>
        <w:pStyle w:val="35"/>
        <w:keepNext w:val="0"/>
        <w:keepLines w:val="0"/>
        <w:pageBreakBefore w:val="0"/>
        <w:widowControl w:val="0"/>
        <w:numPr>
          <w:ilvl w:val="0"/>
          <w:numId w:val="2"/>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送审预算未套用现行2025定额。</w:t>
      </w:r>
    </w:p>
    <w:p w14:paraId="5BFF46F2">
      <w:pPr>
        <w:pStyle w:val="35"/>
        <w:keepNext w:val="0"/>
        <w:keepLines w:val="0"/>
        <w:pageBreakBefore w:val="0"/>
        <w:widowControl w:val="0"/>
        <w:numPr>
          <w:ilvl w:val="0"/>
          <w:numId w:val="2"/>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管道冲洗、消毒试验由项目单位优化取消</w:t>
      </w:r>
      <w:bookmarkStart w:id="29" w:name="_Toc1954155083_WPSOffice_Level1"/>
      <w:bookmarkStart w:id="30" w:name="_Toc545252939_WPSOffice_Level1"/>
      <w:bookmarkStart w:id="31" w:name="_Toc308870453_WPSOffice_Level1"/>
      <w:bookmarkStart w:id="32" w:name="_Toc1156470918_WPSOffice_Level1"/>
      <w:r>
        <w:rPr>
          <w:rFonts w:hint="eastAsia" w:ascii="仿宋_GB2312" w:hAnsi="仿宋_GB2312" w:cs="仿宋_GB2312"/>
          <w:color w:val="000000"/>
          <w:sz w:val="32"/>
          <w:szCs w:val="32"/>
        </w:rPr>
        <w:t>。</w:t>
      </w:r>
    </w:p>
    <w:p w14:paraId="61C5BA1B">
      <w:pPr>
        <w:pStyle w:val="35"/>
        <w:keepNext w:val="0"/>
        <w:keepLines w:val="0"/>
        <w:pageBreakBefore w:val="0"/>
        <w:widowControl w:val="0"/>
        <w:numPr>
          <w:ilvl w:val="0"/>
          <w:numId w:val="2"/>
        </w:numPr>
        <w:kinsoku/>
        <w:wordWrap/>
        <w:topLinePunct w:val="0"/>
        <w:autoSpaceDE/>
        <w:autoSpaceDN/>
        <w:bidi w:val="0"/>
        <w:adjustRightInd/>
        <w:snapToGrid/>
        <w:spacing w:line="540" w:lineRule="exact"/>
        <w:ind w:left="0" w:firstLine="640" w:firstLineChars="200"/>
        <w:textAlignment w:val="auto"/>
        <w:rPr>
          <w:rFonts w:ascii="仿宋_GB2312" w:hAnsi="仿宋_GB2312" w:cs="仿宋_GB2312"/>
          <w:color w:val="000000"/>
          <w:sz w:val="32"/>
          <w:szCs w:val="32"/>
        </w:rPr>
      </w:pPr>
      <w:r>
        <w:rPr>
          <w:rFonts w:hint="eastAsia" w:ascii="仿宋_GB2312" w:hAnsi="仿宋_GB2312" w:cs="仿宋_GB2312"/>
          <w:color w:val="000000"/>
          <w:sz w:val="32"/>
          <w:szCs w:val="32"/>
        </w:rPr>
        <w:t>标准砖 240×115×53主材价格按2025年第10期发布价调整为443元/千块。</w:t>
      </w:r>
    </w:p>
    <w:p w14:paraId="5A88D344">
      <w:pPr>
        <w:keepNext w:val="0"/>
        <w:keepLines w:val="0"/>
        <w:pageBreakBefore w:val="0"/>
        <w:widowControl w:val="0"/>
        <w:kinsoku/>
        <w:wordWrap/>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黑体" w:hAnsi="黑体" w:eastAsia="黑体" w:cs="黑体"/>
          <w:sz w:val="32"/>
          <w:szCs w:val="32"/>
        </w:rPr>
        <w:t>四、存在的问题及建议</w:t>
      </w:r>
      <w:bookmarkEnd w:id="29"/>
      <w:bookmarkEnd w:id="30"/>
      <w:bookmarkEnd w:id="31"/>
      <w:bookmarkEnd w:id="32"/>
    </w:p>
    <w:p w14:paraId="27631B26">
      <w:pPr>
        <w:keepNext w:val="0"/>
        <w:keepLines w:val="0"/>
        <w:pageBreakBefore w:val="0"/>
        <w:widowControl w:val="0"/>
        <w:kinsoku/>
        <w:wordWrap/>
        <w:overflowPunct w:val="0"/>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该项目在2025年园林绿化提质改造专项资金细化表中申报的资金为</w:t>
      </w:r>
      <w:r>
        <w:rPr>
          <w:rFonts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rPr>
        <w:t>0万元。报送预算金额超计划资金额度，经项目单位优化方案之后重新报送预算，对调整后预算进行评审并出具评审报告。</w:t>
      </w:r>
    </w:p>
    <w:p w14:paraId="71C8DDAE">
      <w:pPr>
        <w:keepNext w:val="0"/>
        <w:keepLines w:val="0"/>
        <w:pageBreakBefore w:val="0"/>
        <w:widowControl w:val="0"/>
        <w:kinsoku/>
        <w:wordWrap/>
        <w:overflowPunct w:val="0"/>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rPr>
        <w:t>灌溉系统的建设提高了苗木养护的自动化及苗木成活率，节约了一定的人力成本，建议资金管理科室在绿地运维经费安排时可根据该因素予以对冲考虑。</w:t>
      </w:r>
    </w:p>
    <w:p w14:paraId="666739B0">
      <w:pPr>
        <w:pStyle w:val="14"/>
        <w:keepNext w:val="0"/>
        <w:keepLines w:val="0"/>
        <w:pageBreakBefore w:val="0"/>
        <w:widowControl w:val="0"/>
        <w:tabs>
          <w:tab w:val="left" w:pos="6266"/>
        </w:tabs>
        <w:kinsoku/>
        <w:wordWrap/>
        <w:topLinePunct w:val="0"/>
        <w:autoSpaceDE/>
        <w:autoSpaceDN/>
        <w:bidi w:val="0"/>
        <w:adjustRightInd/>
        <w:snapToGrid/>
        <w:spacing w:line="540" w:lineRule="exact"/>
        <w:ind w:left="0" w:firstLine="640" w:firstLineChars="200"/>
        <w:textAlignment w:val="auto"/>
        <w:outlineLvl w:val="0"/>
        <w:rPr>
          <w:rFonts w:ascii="黑体" w:hAnsi="黑体" w:eastAsia="黑体" w:cs="黑体"/>
          <w:color w:val="000000"/>
          <w:sz w:val="32"/>
          <w:szCs w:val="32"/>
        </w:rPr>
      </w:pPr>
      <w:bookmarkStart w:id="33" w:name="_Toc669635750_WPSOffice_Level1"/>
      <w:bookmarkStart w:id="34" w:name="_Toc391484743_WPSOffice_Level1"/>
      <w:bookmarkStart w:id="35" w:name="_Toc340961487_WPSOffice_Level1"/>
      <w:bookmarkStart w:id="36" w:name="_Toc1244274959_WPSOffice_Level1"/>
      <w:r>
        <w:rPr>
          <w:rFonts w:hint="eastAsia" w:ascii="黑体" w:hAnsi="黑体" w:eastAsia="黑体" w:cs="黑体"/>
          <w:color w:val="000000"/>
          <w:sz w:val="32"/>
          <w:szCs w:val="32"/>
        </w:rPr>
        <w:t>五、有关事项说明</w:t>
      </w:r>
      <w:bookmarkEnd w:id="33"/>
      <w:bookmarkEnd w:id="34"/>
      <w:bookmarkEnd w:id="35"/>
      <w:bookmarkEnd w:id="36"/>
    </w:p>
    <w:p w14:paraId="211D0E79">
      <w:pPr>
        <w:keepNext w:val="0"/>
        <w:keepLines w:val="0"/>
        <w:pageBreakBefore w:val="0"/>
        <w:widowControl w:val="0"/>
        <w:kinsoku/>
        <w:wordWrap/>
        <w:overflowPunct w:val="0"/>
        <w:topLinePunct w:val="0"/>
        <w:autoSpaceDE/>
        <w:autoSpaceDN/>
        <w:bidi w:val="0"/>
        <w:adjustRightInd/>
        <w:snapToGrid/>
        <w:spacing w:line="540" w:lineRule="exact"/>
        <w:ind w:left="0" w:firstLine="640" w:firstLineChars="200"/>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本</w:t>
      </w:r>
      <w:r>
        <w:rPr>
          <w:rFonts w:hint="eastAsia" w:ascii="Times New Roman" w:hAnsi="Times New Roman" w:eastAsia="仿宋_GB2312"/>
          <w:sz w:val="32"/>
          <w:szCs w:val="32"/>
        </w:rPr>
        <w:t>评审结果是该项目财政预算控制上限，作为预算执行的重要依据，</w:t>
      </w:r>
      <w:r>
        <w:rPr>
          <w:rFonts w:hint="eastAsia" w:ascii="仿宋_GB2312" w:hAnsi="仿宋_GB2312" w:eastAsia="仿宋_GB2312" w:cs="仿宋_GB2312"/>
          <w:sz w:val="32"/>
          <w:szCs w:val="32"/>
        </w:rPr>
        <w:t>不作为招投标、政府采购、结算和决算的依据</w:t>
      </w:r>
      <w:r>
        <w:rPr>
          <w:rFonts w:hint="eastAsia" w:ascii="仿宋_GB2312" w:hAnsi="仿宋_GB2312" w:eastAsia="仿宋_GB2312" w:cs="仿宋_GB2312"/>
          <w:color w:val="000000"/>
          <w:sz w:val="32"/>
          <w:szCs w:val="32"/>
        </w:rPr>
        <w:t>。请</w:t>
      </w:r>
      <w:r>
        <w:rPr>
          <w:rFonts w:hint="eastAsia" w:ascii="Times New Roman" w:hAnsi="Times New Roman" w:eastAsia="仿宋_GB2312"/>
          <w:sz w:val="32"/>
          <w:szCs w:val="32"/>
        </w:rPr>
        <w:t>根据预算执行评审结果调整预算安排并指导相关部门严控预算执行，督促</w:t>
      </w:r>
      <w:r>
        <w:rPr>
          <w:rFonts w:hint="eastAsia" w:ascii="仿宋_GB2312" w:hAnsi="仿宋_GB2312" w:eastAsia="仿宋_GB2312" w:cs="仿宋_GB2312"/>
          <w:color w:val="000000"/>
          <w:sz w:val="32"/>
          <w:szCs w:val="32"/>
        </w:rPr>
        <w:t>项目单位严格遵守各项法律法规、财经纪律和财务管理制度。资金管理科室对预算评审类型和报告使用负责。</w:t>
      </w:r>
    </w:p>
    <w:p w14:paraId="5DF4315F">
      <w:pPr>
        <w:keepNext w:val="0"/>
        <w:keepLines w:val="0"/>
        <w:pageBreakBefore w:val="0"/>
        <w:widowControl w:val="0"/>
        <w:kinsoku/>
        <w:wordWrap/>
        <w:overflowPunct w:val="0"/>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 项目预算控制上限依据项目单位提供的设计图纸、施工方案，参照相关法律法规、行业规范标准及市场询价结果出具。若因送审资料完整性不足、准确性欠缺等情形导致的偏差，相关责任由项目单位自行承担。</w:t>
      </w:r>
    </w:p>
    <w:p w14:paraId="37BC9488"/>
    <w:p w14:paraId="589AF4E7">
      <w:pPr>
        <w:overflowPunct w:val="0"/>
        <w:ind w:firstLine="640" w:firstLineChars="200"/>
        <w:jc w:val="right"/>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常德市财政局投资评审中心</w:t>
      </w:r>
    </w:p>
    <w:p w14:paraId="4BB23768">
      <w:pPr>
        <w:pStyle w:val="2"/>
        <w:wordWrap w:val="0"/>
        <w:spacing w:line="600" w:lineRule="exact"/>
        <w:ind w:left="5460" w:right="332" w:hanging="73"/>
        <w:jc w:val="right"/>
        <w:rPr>
          <w:rFonts w:ascii="Times New Roman" w:hAnsi="Times New Roman"/>
        </w:rPr>
      </w:pPr>
      <w:r>
        <w:rPr>
          <w:rFonts w:hint="eastAsia" w:ascii="仿宋_GB2312" w:hAnsi="仿宋_GB2312" w:eastAsia="仿宋_GB2312" w:cs="仿宋_GB2312"/>
          <w:color w:val="000000"/>
          <w:sz w:val="32"/>
          <w:szCs w:val="32"/>
        </w:rPr>
        <w:t>2025年12月</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日</w:t>
      </w:r>
    </w:p>
    <w:p w14:paraId="6F161776">
      <w:pPr>
        <w:widowControl/>
        <w:jc w:val="left"/>
        <w:rPr>
          <w:rFonts w:ascii="仿宋_GB2312" w:eastAsia="仿宋_GB2312"/>
          <w:sz w:val="32"/>
          <w:szCs w:val="32"/>
        </w:rPr>
      </w:pPr>
      <w:r>
        <w:rPr>
          <w:rFonts w:ascii="仿宋_GB2312" w:eastAsia="仿宋_GB2312"/>
          <w:sz w:val="32"/>
          <w:szCs w:val="32"/>
        </w:rPr>
        <w:br w:type="page"/>
      </w:r>
    </w:p>
    <w:p w14:paraId="20F9B298">
      <w:pPr>
        <w:jc w:val="left"/>
        <w:rPr>
          <w:rFonts w:ascii="仿宋_GB2312" w:eastAsia="仿宋_GB2312"/>
          <w:sz w:val="32"/>
          <w:szCs w:val="32"/>
        </w:rPr>
      </w:pPr>
      <w:r>
        <w:rPr>
          <w:rFonts w:hint="eastAsia" w:ascii="仿宋_GB2312" w:eastAsia="仿宋_GB2312"/>
          <w:sz w:val="32"/>
          <w:szCs w:val="32"/>
        </w:rPr>
        <w:t>附表</w:t>
      </w:r>
    </w:p>
    <w:tbl>
      <w:tblPr>
        <w:tblStyle w:val="20"/>
        <w:tblW w:w="8853" w:type="dxa"/>
        <w:tblInd w:w="91" w:type="dxa"/>
        <w:tblLayout w:type="fixed"/>
        <w:tblCellMar>
          <w:top w:w="0" w:type="dxa"/>
          <w:left w:w="108" w:type="dxa"/>
          <w:bottom w:w="0" w:type="dxa"/>
          <w:right w:w="108" w:type="dxa"/>
        </w:tblCellMar>
      </w:tblPr>
      <w:tblGrid>
        <w:gridCol w:w="724"/>
        <w:gridCol w:w="2020"/>
        <w:gridCol w:w="1465"/>
        <w:gridCol w:w="1465"/>
        <w:gridCol w:w="1265"/>
        <w:gridCol w:w="200"/>
        <w:gridCol w:w="1714"/>
      </w:tblGrid>
      <w:tr w14:paraId="50BE73FE">
        <w:tblPrEx>
          <w:tblCellMar>
            <w:top w:w="0" w:type="dxa"/>
            <w:left w:w="108" w:type="dxa"/>
            <w:bottom w:w="0" w:type="dxa"/>
            <w:right w:w="108" w:type="dxa"/>
          </w:tblCellMar>
        </w:tblPrEx>
        <w:trPr>
          <w:wAfter w:w="0" w:type="auto"/>
          <w:trHeight w:val="780" w:hRule="atLeast"/>
        </w:trPr>
        <w:tc>
          <w:tcPr>
            <w:tcW w:w="8853" w:type="dxa"/>
            <w:gridSpan w:val="7"/>
            <w:tcBorders>
              <w:top w:val="nil"/>
              <w:left w:val="nil"/>
              <w:bottom w:val="nil"/>
              <w:right w:val="nil"/>
            </w:tcBorders>
            <w:noWrap/>
            <w:vAlign w:val="center"/>
          </w:tcPr>
          <w:p w14:paraId="7FA45CC6">
            <w:pPr>
              <w:pStyle w:val="12"/>
              <w:spacing w:line="600" w:lineRule="exact"/>
              <w:jc w:val="center"/>
              <w:outlineLvl w:val="0"/>
              <w:rPr>
                <w:rFonts w:hint="eastAsia" w:ascii="宋体" w:hAnsi="宋体" w:eastAsia="宋体" w:cs="宋体"/>
                <w:b w:val="0"/>
                <w:bCs w:val="0"/>
                <w:color w:val="000000"/>
                <w:sz w:val="44"/>
                <w:lang w:eastAsia="zh-CN"/>
              </w:rPr>
            </w:pPr>
            <w:r>
              <w:rPr>
                <w:rFonts w:hint="eastAsia" w:ascii="宋体" w:hAnsi="宋体" w:eastAsia="宋体" w:cs="宋体"/>
                <w:b w:val="0"/>
                <w:bCs w:val="0"/>
                <w:color w:val="000000"/>
                <w:sz w:val="44"/>
                <w:lang w:eastAsia="zh-CN"/>
              </w:rPr>
              <w:t>屈原公园灌溉系统改造工程</w:t>
            </w:r>
          </w:p>
          <w:p w14:paraId="4680A81E">
            <w:pPr>
              <w:pStyle w:val="12"/>
              <w:spacing w:line="600" w:lineRule="exact"/>
              <w:jc w:val="center"/>
              <w:outlineLvl w:val="0"/>
              <w:rPr>
                <w:rFonts w:ascii="宋体" w:hAnsi="宋体" w:cs="宋体"/>
                <w:kern w:val="0"/>
                <w:sz w:val="44"/>
                <w:szCs w:val="44"/>
              </w:rPr>
            </w:pPr>
            <w:r>
              <w:rPr>
                <w:rFonts w:hint="eastAsia" w:ascii="宋体" w:hAnsi="宋体" w:eastAsia="宋体" w:cs="宋体"/>
                <w:b w:val="0"/>
                <w:bCs w:val="0"/>
                <w:color w:val="000000"/>
                <w:sz w:val="44"/>
                <w:lang w:eastAsia="zh-CN"/>
              </w:rPr>
              <w:t>预算执行评审汇总表</w:t>
            </w:r>
          </w:p>
        </w:tc>
      </w:tr>
      <w:tr w14:paraId="0CDC4B68">
        <w:tblPrEx>
          <w:tblCellMar>
            <w:top w:w="0" w:type="dxa"/>
            <w:left w:w="108" w:type="dxa"/>
            <w:bottom w:w="0" w:type="dxa"/>
            <w:right w:w="108" w:type="dxa"/>
          </w:tblCellMar>
        </w:tblPrEx>
        <w:trPr>
          <w:wAfter w:w="0" w:type="auto"/>
          <w:trHeight w:val="567" w:hRule="exact"/>
        </w:trPr>
        <w:tc>
          <w:tcPr>
            <w:tcW w:w="6939" w:type="dxa"/>
            <w:gridSpan w:val="5"/>
            <w:tcBorders>
              <w:top w:val="nil"/>
              <w:left w:val="nil"/>
              <w:bottom w:val="nil"/>
              <w:right w:val="nil"/>
            </w:tcBorders>
            <w:noWrap/>
            <w:vAlign w:val="center"/>
          </w:tcPr>
          <w:p w14:paraId="3574C319">
            <w:pPr>
              <w:jc w:val="left"/>
              <w:rPr>
                <w:rFonts w:ascii="仿宋_GB2312" w:hAnsi="仿宋_GB2312" w:eastAsia="仿宋_GB2312" w:cs="仿宋_GB2312"/>
                <w:sz w:val="28"/>
                <w:szCs w:val="28"/>
                <w:u w:val="single"/>
              </w:rPr>
            </w:pPr>
          </w:p>
        </w:tc>
        <w:tc>
          <w:tcPr>
            <w:tcW w:w="1914" w:type="dxa"/>
            <w:gridSpan w:val="2"/>
            <w:tcBorders>
              <w:top w:val="nil"/>
              <w:left w:val="nil"/>
              <w:bottom w:val="nil"/>
              <w:right w:val="nil"/>
            </w:tcBorders>
            <w:vAlign w:val="center"/>
          </w:tcPr>
          <w:p w14:paraId="5B6D582B">
            <w:pPr>
              <w:widowControl/>
              <w:jc w:val="right"/>
              <w:rPr>
                <w:rFonts w:ascii="仿宋_GB2312" w:hAnsi="仿宋_GB2312" w:eastAsia="仿宋_GB2312" w:cs="仿宋_GB2312"/>
                <w:kern w:val="0"/>
                <w:sz w:val="28"/>
                <w:szCs w:val="28"/>
              </w:rPr>
            </w:pPr>
            <w:r>
              <w:rPr>
                <w:rFonts w:hint="eastAsia" w:ascii="仿宋_GB2312" w:hAnsi="仿宋_GB2312" w:eastAsia="仿宋_GB2312" w:cs="仿宋_GB2312"/>
                <w:kern w:val="0"/>
                <w:sz w:val="24"/>
                <w:szCs w:val="24"/>
              </w:rPr>
              <w:t>金额单位：元</w:t>
            </w:r>
          </w:p>
        </w:tc>
      </w:tr>
      <w:tr w14:paraId="1CF1914E">
        <w:tblPrEx>
          <w:tblCellMar>
            <w:top w:w="15" w:type="dxa"/>
            <w:left w:w="15" w:type="dxa"/>
            <w:bottom w:w="15" w:type="dxa"/>
            <w:right w:w="15" w:type="dxa"/>
          </w:tblCellMar>
        </w:tblPrEx>
        <w:trPr>
          <w:trHeight w:val="567" w:hRule="exact"/>
        </w:trPr>
        <w:tc>
          <w:tcPr>
            <w:tcW w:w="724" w:type="dxa"/>
            <w:tcBorders>
              <w:top w:val="single" w:color="000000" w:sz="4" w:space="0"/>
              <w:left w:val="single" w:color="000000" w:sz="4" w:space="0"/>
              <w:bottom w:val="single" w:color="000000" w:sz="4" w:space="0"/>
              <w:right w:val="single" w:color="000000" w:sz="4" w:space="0"/>
            </w:tcBorders>
            <w:vAlign w:val="center"/>
          </w:tcPr>
          <w:p w14:paraId="7A4589D4">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序号</w:t>
            </w:r>
          </w:p>
        </w:tc>
        <w:tc>
          <w:tcPr>
            <w:tcW w:w="2020" w:type="dxa"/>
            <w:tcBorders>
              <w:top w:val="single" w:color="000000" w:sz="4" w:space="0"/>
              <w:left w:val="single" w:color="000000" w:sz="4" w:space="0"/>
              <w:bottom w:val="single" w:color="000000" w:sz="4" w:space="0"/>
              <w:right w:val="single" w:color="000000" w:sz="4" w:space="0"/>
            </w:tcBorders>
            <w:vAlign w:val="center"/>
          </w:tcPr>
          <w:p w14:paraId="58C57AEE">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评审内容</w:t>
            </w:r>
          </w:p>
        </w:tc>
        <w:tc>
          <w:tcPr>
            <w:tcW w:w="1465" w:type="dxa"/>
            <w:tcBorders>
              <w:top w:val="single" w:color="000000" w:sz="4" w:space="0"/>
              <w:left w:val="single" w:color="000000" w:sz="4" w:space="0"/>
              <w:bottom w:val="single" w:color="000000" w:sz="4" w:space="0"/>
              <w:right w:val="single" w:color="000000" w:sz="4" w:space="0"/>
            </w:tcBorders>
            <w:vAlign w:val="center"/>
          </w:tcPr>
          <w:p w14:paraId="2B09F279">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送审金额</w:t>
            </w:r>
          </w:p>
        </w:tc>
        <w:tc>
          <w:tcPr>
            <w:tcW w:w="1465" w:type="dxa"/>
            <w:tcBorders>
              <w:top w:val="single" w:color="000000" w:sz="4" w:space="0"/>
              <w:left w:val="single" w:color="000000" w:sz="4" w:space="0"/>
              <w:bottom w:val="single" w:color="000000" w:sz="4" w:space="0"/>
              <w:right w:val="single" w:color="000000" w:sz="4" w:space="0"/>
            </w:tcBorders>
            <w:vAlign w:val="center"/>
          </w:tcPr>
          <w:p w14:paraId="37A7E905">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审定金额</w:t>
            </w:r>
          </w:p>
        </w:tc>
        <w:tc>
          <w:tcPr>
            <w:tcW w:w="1465" w:type="dxa"/>
            <w:gridSpan w:val="2"/>
            <w:tcBorders>
              <w:top w:val="single" w:color="000000" w:sz="4" w:space="0"/>
              <w:left w:val="single" w:color="000000" w:sz="4" w:space="0"/>
              <w:bottom w:val="single" w:color="000000" w:sz="4" w:space="0"/>
              <w:right w:val="single" w:color="000000" w:sz="4" w:space="0"/>
            </w:tcBorders>
            <w:vAlign w:val="center"/>
          </w:tcPr>
          <w:p w14:paraId="3FA32F38">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审减金额</w:t>
            </w:r>
          </w:p>
        </w:tc>
        <w:tc>
          <w:tcPr>
            <w:tcW w:w="1714" w:type="dxa"/>
            <w:tcBorders>
              <w:top w:val="single" w:color="000000" w:sz="4" w:space="0"/>
              <w:left w:val="single" w:color="000000" w:sz="4" w:space="0"/>
              <w:bottom w:val="single" w:color="000000" w:sz="4" w:space="0"/>
              <w:right w:val="single" w:color="000000" w:sz="4" w:space="0"/>
            </w:tcBorders>
            <w:vAlign w:val="center"/>
          </w:tcPr>
          <w:p w14:paraId="72575F57">
            <w:pPr>
              <w:widowControl/>
              <w:spacing w:line="240" w:lineRule="exact"/>
              <w:jc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备  注</w:t>
            </w:r>
          </w:p>
        </w:tc>
      </w:tr>
      <w:tr w14:paraId="72BA7188">
        <w:tblPrEx>
          <w:tblCellMar>
            <w:top w:w="0" w:type="dxa"/>
            <w:left w:w="108" w:type="dxa"/>
            <w:bottom w:w="0" w:type="dxa"/>
            <w:right w:w="108" w:type="dxa"/>
          </w:tblCellMar>
        </w:tblPrEx>
        <w:trPr>
          <w:trHeight w:val="567" w:hRule="exact"/>
        </w:trPr>
        <w:tc>
          <w:tcPr>
            <w:tcW w:w="724" w:type="dxa"/>
            <w:tcBorders>
              <w:top w:val="single" w:color="auto" w:sz="4" w:space="0"/>
              <w:left w:val="single" w:color="auto" w:sz="4" w:space="0"/>
              <w:bottom w:val="single" w:color="auto" w:sz="4" w:space="0"/>
              <w:right w:val="single" w:color="auto" w:sz="4" w:space="0"/>
            </w:tcBorders>
            <w:vAlign w:val="center"/>
          </w:tcPr>
          <w:p w14:paraId="7A602B2F">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一</w:t>
            </w:r>
          </w:p>
        </w:tc>
        <w:tc>
          <w:tcPr>
            <w:tcW w:w="2020" w:type="dxa"/>
            <w:tcBorders>
              <w:top w:val="single" w:color="auto" w:sz="4" w:space="0"/>
              <w:left w:val="nil"/>
              <w:bottom w:val="single" w:color="auto" w:sz="4" w:space="0"/>
              <w:right w:val="single" w:color="auto" w:sz="4" w:space="0"/>
            </w:tcBorders>
            <w:vAlign w:val="center"/>
          </w:tcPr>
          <w:p w14:paraId="56659FB6">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工程费</w:t>
            </w:r>
          </w:p>
        </w:tc>
        <w:tc>
          <w:tcPr>
            <w:tcW w:w="1465" w:type="dxa"/>
            <w:tcBorders>
              <w:top w:val="single" w:color="auto" w:sz="4" w:space="0"/>
              <w:left w:val="nil"/>
              <w:bottom w:val="single" w:color="auto" w:sz="4" w:space="0"/>
              <w:right w:val="single" w:color="auto" w:sz="4" w:space="0"/>
            </w:tcBorders>
            <w:vAlign w:val="center"/>
          </w:tcPr>
          <w:p w14:paraId="13ACE9DA">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482636 </w:t>
            </w:r>
          </w:p>
        </w:tc>
        <w:tc>
          <w:tcPr>
            <w:tcW w:w="1465" w:type="dxa"/>
            <w:tcBorders>
              <w:top w:val="single" w:color="auto" w:sz="4" w:space="0"/>
              <w:left w:val="nil"/>
              <w:bottom w:val="single" w:color="auto" w:sz="4" w:space="0"/>
              <w:right w:val="single" w:color="auto" w:sz="4" w:space="0"/>
            </w:tcBorders>
            <w:vAlign w:val="center"/>
          </w:tcPr>
          <w:p w14:paraId="6B9416C7">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458843 </w:t>
            </w:r>
          </w:p>
        </w:tc>
        <w:tc>
          <w:tcPr>
            <w:tcW w:w="1465" w:type="dxa"/>
            <w:gridSpan w:val="2"/>
            <w:tcBorders>
              <w:top w:val="single" w:color="auto" w:sz="4" w:space="0"/>
              <w:left w:val="nil"/>
              <w:bottom w:val="single" w:color="auto" w:sz="4" w:space="0"/>
              <w:right w:val="single" w:color="auto" w:sz="4" w:space="0"/>
            </w:tcBorders>
            <w:vAlign w:val="center"/>
          </w:tcPr>
          <w:p w14:paraId="2B3AAE2E">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23793 </w:t>
            </w:r>
          </w:p>
        </w:tc>
        <w:tc>
          <w:tcPr>
            <w:tcW w:w="1714" w:type="dxa"/>
            <w:tcBorders>
              <w:top w:val="single" w:color="auto" w:sz="4" w:space="0"/>
              <w:left w:val="nil"/>
              <w:bottom w:val="single" w:color="auto" w:sz="4" w:space="0"/>
              <w:right w:val="single" w:color="auto" w:sz="4" w:space="0"/>
            </w:tcBorders>
            <w:vAlign w:val="center"/>
          </w:tcPr>
          <w:p w14:paraId="0538E51E">
            <w:pPr>
              <w:widowControl/>
              <w:jc w:val="left"/>
              <w:rPr>
                <w:rFonts w:ascii="仿宋_GB2312" w:hAnsi="仿宋_GB2312" w:eastAsia="仿宋_GB2312" w:cs="仿宋_GB2312"/>
                <w:kern w:val="0"/>
                <w:sz w:val="24"/>
                <w:szCs w:val="24"/>
              </w:rPr>
            </w:pPr>
          </w:p>
        </w:tc>
      </w:tr>
      <w:tr w14:paraId="14CB093B">
        <w:tblPrEx>
          <w:tblCellMar>
            <w:top w:w="0" w:type="dxa"/>
            <w:left w:w="108" w:type="dxa"/>
            <w:bottom w:w="0" w:type="dxa"/>
            <w:right w:w="108" w:type="dxa"/>
          </w:tblCellMar>
        </w:tblPrEx>
        <w:trPr>
          <w:trHeight w:val="567" w:hRule="exact"/>
        </w:trPr>
        <w:tc>
          <w:tcPr>
            <w:tcW w:w="724" w:type="dxa"/>
            <w:tcBorders>
              <w:top w:val="single" w:color="auto" w:sz="4" w:space="0"/>
              <w:left w:val="single" w:color="auto" w:sz="4" w:space="0"/>
              <w:bottom w:val="single" w:color="auto" w:sz="4" w:space="0"/>
              <w:right w:val="single" w:color="auto" w:sz="4" w:space="0"/>
            </w:tcBorders>
            <w:vAlign w:val="center"/>
          </w:tcPr>
          <w:p w14:paraId="75A2731A">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二</w:t>
            </w:r>
          </w:p>
        </w:tc>
        <w:tc>
          <w:tcPr>
            <w:tcW w:w="2020" w:type="dxa"/>
            <w:tcBorders>
              <w:top w:val="single" w:color="auto" w:sz="4" w:space="0"/>
              <w:left w:val="nil"/>
              <w:bottom w:val="single" w:color="auto" w:sz="4" w:space="0"/>
              <w:right w:val="single" w:color="auto" w:sz="4" w:space="0"/>
            </w:tcBorders>
            <w:vAlign w:val="center"/>
          </w:tcPr>
          <w:p w14:paraId="7426A0A8">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前期费</w:t>
            </w:r>
          </w:p>
        </w:tc>
        <w:tc>
          <w:tcPr>
            <w:tcW w:w="1465" w:type="dxa"/>
            <w:tcBorders>
              <w:top w:val="single" w:color="auto" w:sz="4" w:space="0"/>
              <w:left w:val="nil"/>
              <w:bottom w:val="single" w:color="auto" w:sz="4" w:space="0"/>
              <w:right w:val="single" w:color="auto" w:sz="4" w:space="0"/>
            </w:tcBorders>
            <w:vAlign w:val="center"/>
          </w:tcPr>
          <w:p w14:paraId="08EE42BF">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24907 </w:t>
            </w:r>
          </w:p>
        </w:tc>
        <w:tc>
          <w:tcPr>
            <w:tcW w:w="1465" w:type="dxa"/>
            <w:tcBorders>
              <w:top w:val="single" w:color="auto" w:sz="4" w:space="0"/>
              <w:left w:val="nil"/>
              <w:bottom w:val="single" w:color="auto" w:sz="4" w:space="0"/>
              <w:right w:val="single" w:color="auto" w:sz="4" w:space="0"/>
            </w:tcBorders>
            <w:vAlign w:val="center"/>
          </w:tcPr>
          <w:p w14:paraId="37835AA6">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24397 </w:t>
            </w:r>
          </w:p>
        </w:tc>
        <w:tc>
          <w:tcPr>
            <w:tcW w:w="1465" w:type="dxa"/>
            <w:gridSpan w:val="2"/>
            <w:tcBorders>
              <w:top w:val="single" w:color="auto" w:sz="4" w:space="0"/>
              <w:left w:val="nil"/>
              <w:bottom w:val="single" w:color="auto" w:sz="4" w:space="0"/>
              <w:right w:val="single" w:color="auto" w:sz="4" w:space="0"/>
            </w:tcBorders>
            <w:vAlign w:val="center"/>
          </w:tcPr>
          <w:p w14:paraId="45397429">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510 </w:t>
            </w:r>
          </w:p>
        </w:tc>
        <w:tc>
          <w:tcPr>
            <w:tcW w:w="1714" w:type="dxa"/>
            <w:tcBorders>
              <w:top w:val="single" w:color="auto" w:sz="4" w:space="0"/>
              <w:left w:val="nil"/>
              <w:bottom w:val="single" w:color="auto" w:sz="4" w:space="0"/>
              <w:right w:val="single" w:color="auto" w:sz="4" w:space="0"/>
            </w:tcBorders>
            <w:vAlign w:val="center"/>
          </w:tcPr>
          <w:p w14:paraId="482A2B46">
            <w:pPr>
              <w:widowControl/>
              <w:jc w:val="left"/>
              <w:rPr>
                <w:rFonts w:ascii="仿宋_GB2312" w:hAnsi="仿宋_GB2312" w:eastAsia="仿宋_GB2312" w:cs="仿宋_GB2312"/>
                <w:kern w:val="0"/>
                <w:sz w:val="24"/>
                <w:szCs w:val="24"/>
              </w:rPr>
            </w:pPr>
          </w:p>
        </w:tc>
      </w:tr>
      <w:tr w14:paraId="0E93919D">
        <w:tblPrEx>
          <w:tblCellMar>
            <w:top w:w="0" w:type="dxa"/>
            <w:left w:w="108" w:type="dxa"/>
            <w:bottom w:w="0" w:type="dxa"/>
            <w:right w:w="108" w:type="dxa"/>
          </w:tblCellMar>
        </w:tblPrEx>
        <w:trPr>
          <w:trHeight w:val="567" w:hRule="exact"/>
        </w:trPr>
        <w:tc>
          <w:tcPr>
            <w:tcW w:w="724" w:type="dxa"/>
            <w:tcBorders>
              <w:top w:val="nil"/>
              <w:left w:val="single" w:color="auto" w:sz="4" w:space="0"/>
              <w:bottom w:val="single" w:color="auto" w:sz="4" w:space="0"/>
              <w:right w:val="single" w:color="auto" w:sz="4" w:space="0"/>
            </w:tcBorders>
            <w:vAlign w:val="center"/>
          </w:tcPr>
          <w:p w14:paraId="4C2DC605">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三</w:t>
            </w:r>
          </w:p>
        </w:tc>
        <w:tc>
          <w:tcPr>
            <w:tcW w:w="2020" w:type="dxa"/>
            <w:tcBorders>
              <w:top w:val="nil"/>
              <w:left w:val="nil"/>
              <w:bottom w:val="single" w:color="auto" w:sz="4" w:space="0"/>
              <w:right w:val="single" w:color="auto" w:sz="4" w:space="0"/>
            </w:tcBorders>
            <w:noWrap/>
            <w:vAlign w:val="center"/>
          </w:tcPr>
          <w:p w14:paraId="13128064">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不可预见费</w:t>
            </w:r>
          </w:p>
        </w:tc>
        <w:tc>
          <w:tcPr>
            <w:tcW w:w="1465" w:type="dxa"/>
            <w:tcBorders>
              <w:top w:val="nil"/>
              <w:left w:val="nil"/>
              <w:bottom w:val="single" w:color="auto" w:sz="4" w:space="0"/>
              <w:right w:val="single" w:color="auto" w:sz="4" w:space="0"/>
            </w:tcBorders>
            <w:noWrap/>
            <w:vAlign w:val="center"/>
          </w:tcPr>
          <w:p w14:paraId="47D4363F">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14479 </w:t>
            </w:r>
          </w:p>
        </w:tc>
        <w:tc>
          <w:tcPr>
            <w:tcW w:w="1465" w:type="dxa"/>
            <w:tcBorders>
              <w:top w:val="nil"/>
              <w:left w:val="nil"/>
              <w:bottom w:val="single" w:color="auto" w:sz="4" w:space="0"/>
              <w:right w:val="single" w:color="auto" w:sz="4" w:space="0"/>
            </w:tcBorders>
            <w:noWrap/>
            <w:vAlign w:val="center"/>
          </w:tcPr>
          <w:p w14:paraId="3331F863">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13765 </w:t>
            </w:r>
          </w:p>
        </w:tc>
        <w:tc>
          <w:tcPr>
            <w:tcW w:w="1465" w:type="dxa"/>
            <w:gridSpan w:val="2"/>
            <w:tcBorders>
              <w:top w:val="nil"/>
              <w:left w:val="nil"/>
              <w:bottom w:val="single" w:color="auto" w:sz="4" w:space="0"/>
              <w:right w:val="single" w:color="auto" w:sz="4" w:space="0"/>
            </w:tcBorders>
            <w:vAlign w:val="center"/>
          </w:tcPr>
          <w:p w14:paraId="1F12BE37">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714 </w:t>
            </w:r>
          </w:p>
        </w:tc>
        <w:tc>
          <w:tcPr>
            <w:tcW w:w="1714" w:type="dxa"/>
            <w:tcBorders>
              <w:top w:val="nil"/>
              <w:left w:val="nil"/>
              <w:bottom w:val="single" w:color="auto" w:sz="4" w:space="0"/>
              <w:right w:val="single" w:color="auto" w:sz="4" w:space="0"/>
            </w:tcBorders>
            <w:vAlign w:val="center"/>
          </w:tcPr>
          <w:p w14:paraId="2D180C10">
            <w:pPr>
              <w:widowControl/>
              <w:jc w:val="center"/>
              <w:rPr>
                <w:rFonts w:ascii="仿宋_GB2312" w:hAnsi="仿宋_GB2312" w:eastAsia="仿宋_GB2312" w:cs="仿宋_GB2312"/>
                <w:kern w:val="0"/>
                <w:sz w:val="24"/>
                <w:szCs w:val="24"/>
              </w:rPr>
            </w:pPr>
            <w:r>
              <w:rPr>
                <w:rFonts w:hint="eastAsia" w:ascii="仿宋_GB2312" w:hAnsi="等线" w:eastAsia="仿宋_GB2312"/>
                <w:color w:val="000000"/>
                <w:sz w:val="24"/>
                <w:szCs w:val="24"/>
              </w:rPr>
              <w:t>工程费的3%</w:t>
            </w:r>
          </w:p>
        </w:tc>
      </w:tr>
      <w:tr w14:paraId="67F897D0">
        <w:tblPrEx>
          <w:tblCellMar>
            <w:top w:w="0" w:type="dxa"/>
            <w:left w:w="108" w:type="dxa"/>
            <w:bottom w:w="0" w:type="dxa"/>
            <w:right w:w="108" w:type="dxa"/>
          </w:tblCellMar>
        </w:tblPrEx>
        <w:trPr>
          <w:trHeight w:val="567" w:hRule="exact"/>
        </w:trPr>
        <w:tc>
          <w:tcPr>
            <w:tcW w:w="724" w:type="dxa"/>
            <w:tcBorders>
              <w:top w:val="nil"/>
              <w:left w:val="single" w:color="auto" w:sz="4" w:space="0"/>
              <w:bottom w:val="single" w:color="auto" w:sz="4" w:space="0"/>
              <w:right w:val="single" w:color="auto" w:sz="4" w:space="0"/>
            </w:tcBorders>
            <w:vAlign w:val="center"/>
          </w:tcPr>
          <w:p w14:paraId="4E45F8AB">
            <w:pPr>
              <w:widowControl/>
              <w:jc w:val="center"/>
              <w:rPr>
                <w:rFonts w:ascii="仿宋_GB2312" w:hAnsi="仿宋_GB2312" w:eastAsia="仿宋_GB2312" w:cs="仿宋_GB2312"/>
                <w:kern w:val="0"/>
                <w:sz w:val="24"/>
                <w:szCs w:val="24"/>
              </w:rPr>
            </w:pPr>
          </w:p>
        </w:tc>
        <w:tc>
          <w:tcPr>
            <w:tcW w:w="2020" w:type="dxa"/>
            <w:tcBorders>
              <w:top w:val="nil"/>
              <w:left w:val="nil"/>
              <w:bottom w:val="single" w:color="auto" w:sz="4" w:space="0"/>
              <w:right w:val="single" w:color="auto" w:sz="4" w:space="0"/>
            </w:tcBorders>
            <w:vAlign w:val="center"/>
          </w:tcPr>
          <w:p w14:paraId="6D61A0A5">
            <w:pPr>
              <w:widowControl/>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  计</w:t>
            </w:r>
          </w:p>
        </w:tc>
        <w:tc>
          <w:tcPr>
            <w:tcW w:w="1465" w:type="dxa"/>
            <w:tcBorders>
              <w:top w:val="nil"/>
              <w:left w:val="nil"/>
              <w:bottom w:val="single" w:color="auto" w:sz="4" w:space="0"/>
              <w:right w:val="single" w:color="auto" w:sz="4" w:space="0"/>
            </w:tcBorders>
            <w:vAlign w:val="center"/>
          </w:tcPr>
          <w:p w14:paraId="555CC2B1">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522022 </w:t>
            </w:r>
          </w:p>
        </w:tc>
        <w:tc>
          <w:tcPr>
            <w:tcW w:w="1465" w:type="dxa"/>
            <w:tcBorders>
              <w:top w:val="nil"/>
              <w:left w:val="nil"/>
              <w:bottom w:val="single" w:color="auto" w:sz="4" w:space="0"/>
              <w:right w:val="single" w:color="auto" w:sz="4" w:space="0"/>
            </w:tcBorders>
            <w:vAlign w:val="center"/>
          </w:tcPr>
          <w:p w14:paraId="62A5D7BE">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497005 </w:t>
            </w:r>
          </w:p>
        </w:tc>
        <w:tc>
          <w:tcPr>
            <w:tcW w:w="1465" w:type="dxa"/>
            <w:gridSpan w:val="2"/>
            <w:tcBorders>
              <w:top w:val="nil"/>
              <w:left w:val="nil"/>
              <w:bottom w:val="single" w:color="auto" w:sz="4" w:space="0"/>
              <w:right w:val="single" w:color="auto" w:sz="4" w:space="0"/>
            </w:tcBorders>
            <w:vAlign w:val="center"/>
          </w:tcPr>
          <w:p w14:paraId="0F526CE4">
            <w:pPr>
              <w:widowControl/>
              <w:jc w:val="center"/>
              <w:rPr>
                <w:rFonts w:ascii="仿宋_GB2312" w:hAnsi="等线" w:eastAsia="仿宋_GB2312"/>
                <w:color w:val="000000"/>
                <w:sz w:val="24"/>
                <w:szCs w:val="24"/>
              </w:rPr>
            </w:pPr>
            <w:r>
              <w:rPr>
                <w:rFonts w:hint="eastAsia" w:ascii="仿宋_GB2312" w:hAnsi="等线" w:eastAsia="仿宋_GB2312"/>
                <w:color w:val="000000"/>
                <w:sz w:val="24"/>
                <w:szCs w:val="24"/>
              </w:rPr>
              <w:t xml:space="preserve">25017 </w:t>
            </w:r>
          </w:p>
        </w:tc>
        <w:tc>
          <w:tcPr>
            <w:tcW w:w="1714" w:type="dxa"/>
            <w:tcBorders>
              <w:top w:val="nil"/>
              <w:left w:val="nil"/>
              <w:bottom w:val="single" w:color="auto" w:sz="4" w:space="0"/>
              <w:right w:val="single" w:color="auto" w:sz="4" w:space="0"/>
            </w:tcBorders>
            <w:vAlign w:val="center"/>
          </w:tcPr>
          <w:p w14:paraId="68282AA3">
            <w:pPr>
              <w:widowControl/>
              <w:jc w:val="center"/>
              <w:rPr>
                <w:rFonts w:ascii="仿宋_GB2312" w:hAnsi="仿宋_GB2312" w:eastAsia="仿宋_GB2312" w:cs="仿宋_GB2312"/>
                <w:kern w:val="0"/>
                <w:sz w:val="24"/>
                <w:szCs w:val="24"/>
              </w:rPr>
            </w:pPr>
            <w:r>
              <w:rPr>
                <w:rFonts w:hint="eastAsia" w:ascii="仿宋_GB2312" w:hAnsi="等线" w:eastAsia="仿宋_GB2312"/>
                <w:color w:val="000000"/>
                <w:sz w:val="24"/>
                <w:szCs w:val="24"/>
              </w:rPr>
              <w:t>审减率</w:t>
            </w:r>
            <w:r>
              <w:rPr>
                <w:rFonts w:ascii="仿宋_GB2312" w:hAnsi="等线" w:eastAsia="仿宋_GB2312"/>
                <w:color w:val="000000"/>
                <w:sz w:val="24"/>
                <w:szCs w:val="24"/>
              </w:rPr>
              <w:t>4.79</w:t>
            </w:r>
            <w:r>
              <w:rPr>
                <w:rFonts w:hint="eastAsia" w:ascii="仿宋_GB2312" w:hAnsi="等线" w:eastAsia="仿宋_GB2312"/>
                <w:color w:val="000000"/>
                <w:sz w:val="24"/>
                <w:szCs w:val="24"/>
              </w:rPr>
              <w:t>%</w:t>
            </w:r>
          </w:p>
        </w:tc>
      </w:tr>
    </w:tbl>
    <w:p w14:paraId="46B5160B">
      <w:bookmarkStart w:id="37" w:name="_GoBack"/>
      <w:bookmarkEnd w:id="37"/>
    </w:p>
    <w:sectPr>
      <w:pgSz w:w="11906" w:h="16838"/>
      <w:pgMar w:top="2154" w:right="1531" w:bottom="1440" w:left="1531"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2232F0"/>
    <w:multiLevelType w:val="multilevel"/>
    <w:tmpl w:val="012232F0"/>
    <w:lvl w:ilvl="0" w:tentative="0">
      <w:start w:val="1"/>
      <w:numFmt w:val="decimal"/>
      <w:suff w:val="space"/>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abstractNum w:abstractNumId="1">
    <w:nsid w:val="02FB757A"/>
    <w:multiLevelType w:val="multilevel"/>
    <w:tmpl w:val="02FB757A"/>
    <w:lvl w:ilvl="0" w:tentative="0">
      <w:start w:val="1"/>
      <w:numFmt w:val="decimal"/>
      <w:suff w:val="space"/>
      <w:lvlText w:val="%1."/>
      <w:lvlJc w:val="left"/>
      <w:pPr>
        <w:ind w:left="1080" w:hanging="440"/>
      </w:pPr>
      <w:rPr>
        <w:rFonts w:hint="eastAsia"/>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C95"/>
    <w:rsid w:val="00000756"/>
    <w:rsid w:val="00085B23"/>
    <w:rsid w:val="001215E9"/>
    <w:rsid w:val="00124BA6"/>
    <w:rsid w:val="001479F8"/>
    <w:rsid w:val="0021362D"/>
    <w:rsid w:val="00224739"/>
    <w:rsid w:val="002550DA"/>
    <w:rsid w:val="002910E0"/>
    <w:rsid w:val="00293F9D"/>
    <w:rsid w:val="002A76CD"/>
    <w:rsid w:val="0030666D"/>
    <w:rsid w:val="003459A7"/>
    <w:rsid w:val="00355006"/>
    <w:rsid w:val="003B1247"/>
    <w:rsid w:val="003C1927"/>
    <w:rsid w:val="003E7F11"/>
    <w:rsid w:val="00441C6A"/>
    <w:rsid w:val="00484DFC"/>
    <w:rsid w:val="004A70E5"/>
    <w:rsid w:val="004B2325"/>
    <w:rsid w:val="004D08C3"/>
    <w:rsid w:val="00530125"/>
    <w:rsid w:val="00597761"/>
    <w:rsid w:val="005C25C6"/>
    <w:rsid w:val="005E03B0"/>
    <w:rsid w:val="00617840"/>
    <w:rsid w:val="006365E1"/>
    <w:rsid w:val="00643849"/>
    <w:rsid w:val="00684E64"/>
    <w:rsid w:val="006908F6"/>
    <w:rsid w:val="006F4ED8"/>
    <w:rsid w:val="007674DA"/>
    <w:rsid w:val="00783187"/>
    <w:rsid w:val="007977F1"/>
    <w:rsid w:val="00885C95"/>
    <w:rsid w:val="008949B8"/>
    <w:rsid w:val="008C6E6E"/>
    <w:rsid w:val="00957E17"/>
    <w:rsid w:val="009729BD"/>
    <w:rsid w:val="00983433"/>
    <w:rsid w:val="00987E15"/>
    <w:rsid w:val="009A5363"/>
    <w:rsid w:val="009D0076"/>
    <w:rsid w:val="009D294F"/>
    <w:rsid w:val="009E1678"/>
    <w:rsid w:val="009E3E4E"/>
    <w:rsid w:val="00A20CF8"/>
    <w:rsid w:val="00A83634"/>
    <w:rsid w:val="00AE318F"/>
    <w:rsid w:val="00B10D36"/>
    <w:rsid w:val="00B131C8"/>
    <w:rsid w:val="00B13E31"/>
    <w:rsid w:val="00B57111"/>
    <w:rsid w:val="00B93D71"/>
    <w:rsid w:val="00B97A21"/>
    <w:rsid w:val="00BB045A"/>
    <w:rsid w:val="00BD2724"/>
    <w:rsid w:val="00BF1B1B"/>
    <w:rsid w:val="00C160E8"/>
    <w:rsid w:val="00C3151B"/>
    <w:rsid w:val="00C363A1"/>
    <w:rsid w:val="00C60121"/>
    <w:rsid w:val="00C810E0"/>
    <w:rsid w:val="00C879BE"/>
    <w:rsid w:val="00CB2A73"/>
    <w:rsid w:val="00CC1F81"/>
    <w:rsid w:val="00D40239"/>
    <w:rsid w:val="00D45129"/>
    <w:rsid w:val="00D505AA"/>
    <w:rsid w:val="00D62C9B"/>
    <w:rsid w:val="00D83731"/>
    <w:rsid w:val="00DA4780"/>
    <w:rsid w:val="00DB1BF1"/>
    <w:rsid w:val="00DC5B31"/>
    <w:rsid w:val="00DD2057"/>
    <w:rsid w:val="00DE41FE"/>
    <w:rsid w:val="00E254A1"/>
    <w:rsid w:val="00ED1673"/>
    <w:rsid w:val="00F36E1D"/>
    <w:rsid w:val="00F67CB7"/>
    <w:rsid w:val="00F85FF3"/>
    <w:rsid w:val="00FE121F"/>
    <w:rsid w:val="00FE4C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link w:val="22"/>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4">
    <w:name w:val="heading 2"/>
    <w:basedOn w:val="1"/>
    <w:next w:val="1"/>
    <w:link w:val="23"/>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5">
    <w:name w:val="heading 3"/>
    <w:basedOn w:val="1"/>
    <w:next w:val="1"/>
    <w:link w:val="24"/>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6">
    <w:name w:val="heading 4"/>
    <w:basedOn w:val="1"/>
    <w:next w:val="1"/>
    <w:link w:val="25"/>
    <w:semiHidden/>
    <w:unhideWhenUsed/>
    <w:qFormat/>
    <w:uiPriority w:val="9"/>
    <w:pPr>
      <w:keepNext/>
      <w:keepLines/>
      <w:spacing w:before="80" w:after="40"/>
      <w:outlineLvl w:val="3"/>
    </w:pPr>
    <w:rPr>
      <w:rFonts w:asciiTheme="minorHAnsi" w:hAnsiTheme="minorHAnsi" w:eastAsiaTheme="minorEastAsia" w:cstheme="majorBidi"/>
      <w:color w:val="2F5597" w:themeColor="accent1" w:themeShade="BF"/>
      <w:sz w:val="28"/>
      <w:szCs w:val="28"/>
    </w:rPr>
  </w:style>
  <w:style w:type="paragraph" w:styleId="7">
    <w:name w:val="heading 5"/>
    <w:basedOn w:val="1"/>
    <w:next w:val="1"/>
    <w:link w:val="26"/>
    <w:semiHidden/>
    <w:unhideWhenUsed/>
    <w:qFormat/>
    <w:uiPriority w:val="9"/>
    <w:pPr>
      <w:keepNext/>
      <w:keepLines/>
      <w:spacing w:before="80" w:after="40"/>
      <w:outlineLvl w:val="4"/>
    </w:pPr>
    <w:rPr>
      <w:rFonts w:asciiTheme="minorHAnsi" w:hAnsiTheme="minorHAnsi" w:eastAsiaTheme="minorEastAsia" w:cstheme="majorBidi"/>
      <w:color w:val="2F5597" w:themeColor="accent1" w:themeShade="BF"/>
      <w:sz w:val="24"/>
    </w:rPr>
  </w:style>
  <w:style w:type="paragraph" w:styleId="8">
    <w:name w:val="heading 6"/>
    <w:basedOn w:val="1"/>
    <w:next w:val="1"/>
    <w:link w:val="27"/>
    <w:semiHidden/>
    <w:unhideWhenUsed/>
    <w:qFormat/>
    <w:uiPriority w:val="9"/>
    <w:pPr>
      <w:keepNext/>
      <w:keepLines/>
      <w:spacing w:before="40"/>
      <w:outlineLvl w:val="5"/>
    </w:pPr>
    <w:rPr>
      <w:rFonts w:asciiTheme="minorHAnsi" w:hAnsiTheme="minorHAnsi" w:eastAsiaTheme="minorEastAsia" w:cstheme="majorBidi"/>
      <w:b/>
      <w:bCs/>
      <w:color w:val="2F5597" w:themeColor="accent1" w:themeShade="BF"/>
      <w:sz w:val="24"/>
    </w:rPr>
  </w:style>
  <w:style w:type="paragraph" w:styleId="9">
    <w:name w:val="heading 7"/>
    <w:basedOn w:val="1"/>
    <w:next w:val="1"/>
    <w:link w:val="28"/>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sz w:val="24"/>
      <w14:textFill>
        <w14:solidFill>
          <w14:schemeClr w14:val="tx1">
            <w14:lumMod w14:val="65000"/>
            <w14:lumOff w14:val="35000"/>
          </w14:schemeClr>
        </w14:solidFill>
      </w14:textFill>
    </w:rPr>
  </w:style>
  <w:style w:type="paragraph" w:styleId="10">
    <w:name w:val="heading 8"/>
    <w:basedOn w:val="1"/>
    <w:next w:val="1"/>
    <w:link w:val="29"/>
    <w:semiHidden/>
    <w:unhideWhenUsed/>
    <w:qFormat/>
    <w:uiPriority w:val="9"/>
    <w:pPr>
      <w:keepNext/>
      <w:keepLines/>
      <w:outlineLvl w:val="7"/>
    </w:pPr>
    <w:rPr>
      <w:rFonts w:asciiTheme="minorHAnsi" w:hAnsiTheme="minorHAnsi" w:eastAsiaTheme="minorEastAsia" w:cstheme="majorBidi"/>
      <w:color w:val="595959" w:themeColor="text1" w:themeTint="A6"/>
      <w:sz w:val="24"/>
      <w14:textFill>
        <w14:solidFill>
          <w14:schemeClr w14:val="tx1">
            <w14:lumMod w14:val="65000"/>
            <w14:lumOff w14:val="35000"/>
          </w14:schemeClr>
        </w14:solidFill>
      </w14:textFill>
    </w:rPr>
  </w:style>
  <w:style w:type="paragraph" w:styleId="11">
    <w:name w:val="heading 9"/>
    <w:basedOn w:val="1"/>
    <w:next w:val="1"/>
    <w:link w:val="30"/>
    <w:semiHidden/>
    <w:unhideWhenUsed/>
    <w:qFormat/>
    <w:uiPriority w:val="9"/>
    <w:pPr>
      <w:keepNext/>
      <w:keepLines/>
      <w:outlineLvl w:val="8"/>
    </w:pPr>
    <w:rPr>
      <w:rFonts w:asciiTheme="minorHAnsi" w:hAnsiTheme="minorHAnsi" w:eastAsiaTheme="majorEastAsia" w:cstheme="majorBidi"/>
      <w:color w:val="595959" w:themeColor="text1" w:themeTint="A6"/>
      <w:sz w:val="24"/>
      <w14:textFill>
        <w14:solidFill>
          <w14:schemeClr w14:val="tx1">
            <w14:lumMod w14:val="65000"/>
            <w14:lumOff w14:val="35000"/>
          </w14:schemeClr>
        </w14:solidFill>
      </w14:textFill>
    </w:rPr>
  </w:style>
  <w:style w:type="character" w:default="1" w:styleId="21">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Indent 2"/>
    <w:basedOn w:val="1"/>
    <w:link w:val="40"/>
    <w:qFormat/>
    <w:uiPriority w:val="0"/>
    <w:pPr>
      <w:spacing w:line="588" w:lineRule="atLeast"/>
    </w:pPr>
    <w:rPr>
      <w:rFonts w:eastAsia="方正仿宋_GBK"/>
      <w:spacing w:val="6"/>
      <w:sz w:val="30"/>
      <w:szCs w:val="22"/>
    </w:rPr>
  </w:style>
  <w:style w:type="paragraph" w:styleId="12">
    <w:name w:val="Body Text"/>
    <w:basedOn w:val="1"/>
    <w:next w:val="13"/>
    <w:link w:val="41"/>
    <w:semiHidden/>
    <w:qFormat/>
    <w:uiPriority w:val="0"/>
    <w:rPr>
      <w:rFonts w:ascii="Arial" w:hAnsi="Arial" w:eastAsia="Arial" w:cs="Arial"/>
      <w:szCs w:val="21"/>
      <w:lang w:eastAsia="en-US"/>
    </w:rPr>
  </w:style>
  <w:style w:type="paragraph" w:styleId="13">
    <w:name w:val="toc 9"/>
    <w:basedOn w:val="1"/>
    <w:next w:val="1"/>
    <w:autoRedefine/>
    <w:semiHidden/>
    <w:unhideWhenUsed/>
    <w:uiPriority w:val="39"/>
    <w:pPr>
      <w:ind w:left="3360" w:leftChars="1600"/>
    </w:pPr>
  </w:style>
  <w:style w:type="paragraph" w:styleId="14">
    <w:name w:val="Body Text Indent"/>
    <w:basedOn w:val="1"/>
    <w:next w:val="15"/>
    <w:link w:val="42"/>
    <w:qFormat/>
    <w:uiPriority w:val="0"/>
    <w:pPr>
      <w:ind w:firstLine="600" w:firstLineChars="200"/>
    </w:pPr>
    <w:rPr>
      <w:rFonts w:eastAsia="仿宋_GB2312"/>
      <w:sz w:val="30"/>
    </w:rPr>
  </w:style>
  <w:style w:type="paragraph" w:styleId="15">
    <w:name w:val="envelope return"/>
    <w:basedOn w:val="1"/>
    <w:semiHidden/>
    <w:unhideWhenUsed/>
    <w:uiPriority w:val="99"/>
    <w:pPr>
      <w:snapToGrid w:val="0"/>
    </w:pPr>
    <w:rPr>
      <w:rFonts w:asciiTheme="majorHAnsi" w:hAnsiTheme="majorHAnsi" w:eastAsiaTheme="majorEastAsia" w:cstheme="majorBidi"/>
    </w:rPr>
  </w:style>
  <w:style w:type="paragraph" w:styleId="16">
    <w:name w:val="footer"/>
    <w:basedOn w:val="1"/>
    <w:link w:val="44"/>
    <w:unhideWhenUsed/>
    <w:uiPriority w:val="99"/>
    <w:pPr>
      <w:tabs>
        <w:tab w:val="center" w:pos="4153"/>
        <w:tab w:val="right" w:pos="8306"/>
      </w:tabs>
      <w:snapToGrid w:val="0"/>
      <w:jc w:val="left"/>
    </w:pPr>
    <w:rPr>
      <w:sz w:val="18"/>
      <w:szCs w:val="18"/>
    </w:rPr>
  </w:style>
  <w:style w:type="paragraph" w:styleId="17">
    <w:name w:val="header"/>
    <w:basedOn w:val="1"/>
    <w:link w:val="43"/>
    <w:unhideWhenUsed/>
    <w:uiPriority w:val="99"/>
    <w:pPr>
      <w:tabs>
        <w:tab w:val="center" w:pos="4153"/>
        <w:tab w:val="right" w:pos="8306"/>
      </w:tabs>
      <w:snapToGrid w:val="0"/>
      <w:jc w:val="center"/>
    </w:pPr>
    <w:rPr>
      <w:sz w:val="18"/>
      <w:szCs w:val="18"/>
    </w:rPr>
  </w:style>
  <w:style w:type="paragraph" w:styleId="18">
    <w:name w:val="Subtitle"/>
    <w:basedOn w:val="1"/>
    <w:next w:val="1"/>
    <w:link w:val="32"/>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9">
    <w:name w:val="Title"/>
    <w:basedOn w:val="1"/>
    <w:next w:val="1"/>
    <w:link w:val="31"/>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22">
    <w:name w:val="标题 1 字符"/>
    <w:basedOn w:val="21"/>
    <w:link w:val="3"/>
    <w:uiPriority w:val="9"/>
    <w:rPr>
      <w:rFonts w:asciiTheme="majorHAnsi" w:hAnsiTheme="majorHAnsi" w:eastAsiaTheme="majorEastAsia" w:cstheme="majorBidi"/>
      <w:color w:val="2F5597" w:themeColor="accent1" w:themeShade="BF"/>
      <w:sz w:val="48"/>
      <w:szCs w:val="48"/>
    </w:rPr>
  </w:style>
  <w:style w:type="character" w:customStyle="1" w:styleId="23">
    <w:name w:val="标题 2 字符"/>
    <w:basedOn w:val="21"/>
    <w:link w:val="4"/>
    <w:semiHidden/>
    <w:uiPriority w:val="9"/>
    <w:rPr>
      <w:rFonts w:asciiTheme="majorHAnsi" w:hAnsiTheme="majorHAnsi" w:eastAsiaTheme="majorEastAsia" w:cstheme="majorBidi"/>
      <w:color w:val="2F5597" w:themeColor="accent1" w:themeShade="BF"/>
      <w:sz w:val="40"/>
      <w:szCs w:val="40"/>
    </w:rPr>
  </w:style>
  <w:style w:type="character" w:customStyle="1" w:styleId="24">
    <w:name w:val="标题 3 字符"/>
    <w:basedOn w:val="21"/>
    <w:link w:val="5"/>
    <w:semiHidden/>
    <w:uiPriority w:val="9"/>
    <w:rPr>
      <w:rFonts w:asciiTheme="majorHAnsi" w:hAnsiTheme="majorHAnsi" w:eastAsiaTheme="majorEastAsia" w:cstheme="majorBidi"/>
      <w:color w:val="2F5597" w:themeColor="accent1" w:themeShade="BF"/>
      <w:sz w:val="32"/>
      <w:szCs w:val="32"/>
    </w:rPr>
  </w:style>
  <w:style w:type="character" w:customStyle="1" w:styleId="25">
    <w:name w:val="标题 4 字符"/>
    <w:basedOn w:val="21"/>
    <w:link w:val="6"/>
    <w:semiHidden/>
    <w:uiPriority w:val="9"/>
    <w:rPr>
      <w:rFonts w:cstheme="majorBidi"/>
      <w:color w:val="2F5597" w:themeColor="accent1" w:themeShade="BF"/>
      <w:sz w:val="28"/>
      <w:szCs w:val="28"/>
    </w:rPr>
  </w:style>
  <w:style w:type="character" w:customStyle="1" w:styleId="26">
    <w:name w:val="标题 5 字符"/>
    <w:basedOn w:val="21"/>
    <w:link w:val="7"/>
    <w:semiHidden/>
    <w:uiPriority w:val="9"/>
    <w:rPr>
      <w:rFonts w:cstheme="majorBidi"/>
      <w:color w:val="2F5597" w:themeColor="accent1" w:themeShade="BF"/>
      <w:sz w:val="24"/>
      <w:szCs w:val="24"/>
    </w:rPr>
  </w:style>
  <w:style w:type="character" w:customStyle="1" w:styleId="27">
    <w:name w:val="标题 6 字符"/>
    <w:basedOn w:val="21"/>
    <w:link w:val="8"/>
    <w:semiHidden/>
    <w:uiPriority w:val="9"/>
    <w:rPr>
      <w:rFonts w:cstheme="majorBidi"/>
      <w:b/>
      <w:bCs/>
      <w:color w:val="2F5597" w:themeColor="accent1" w:themeShade="BF"/>
      <w:sz w:val="24"/>
      <w:szCs w:val="24"/>
    </w:rPr>
  </w:style>
  <w:style w:type="character" w:customStyle="1" w:styleId="28">
    <w:name w:val="标题 7 字符"/>
    <w:basedOn w:val="21"/>
    <w:link w:val="9"/>
    <w:semiHidden/>
    <w:uiPriority w:val="9"/>
    <w:rPr>
      <w:rFonts w:cstheme="majorBidi"/>
      <w:b/>
      <w:bCs/>
      <w:color w:val="595959" w:themeColor="text1" w:themeTint="A6"/>
      <w:sz w:val="24"/>
      <w:szCs w:val="24"/>
      <w14:textFill>
        <w14:solidFill>
          <w14:schemeClr w14:val="tx1">
            <w14:lumMod w14:val="65000"/>
            <w14:lumOff w14:val="35000"/>
          </w14:schemeClr>
        </w14:solidFill>
      </w14:textFill>
    </w:rPr>
  </w:style>
  <w:style w:type="character" w:customStyle="1" w:styleId="29">
    <w:name w:val="标题 8 字符"/>
    <w:basedOn w:val="21"/>
    <w:link w:val="10"/>
    <w:semiHidden/>
    <w:uiPriority w:val="9"/>
    <w:rPr>
      <w:rFonts w:cstheme="majorBidi"/>
      <w:color w:val="595959" w:themeColor="text1" w:themeTint="A6"/>
      <w:sz w:val="24"/>
      <w:szCs w:val="24"/>
      <w14:textFill>
        <w14:solidFill>
          <w14:schemeClr w14:val="tx1">
            <w14:lumMod w14:val="65000"/>
            <w14:lumOff w14:val="35000"/>
          </w14:schemeClr>
        </w14:solidFill>
      </w14:textFill>
    </w:rPr>
  </w:style>
  <w:style w:type="character" w:customStyle="1" w:styleId="30">
    <w:name w:val="标题 9 字符"/>
    <w:basedOn w:val="21"/>
    <w:link w:val="11"/>
    <w:semiHidden/>
    <w:uiPriority w:val="9"/>
    <w:rPr>
      <w:rFonts w:eastAsiaTheme="majorEastAsia" w:cstheme="majorBidi"/>
      <w:color w:val="595959" w:themeColor="text1" w:themeTint="A6"/>
      <w:sz w:val="24"/>
      <w:szCs w:val="24"/>
      <w14:textFill>
        <w14:solidFill>
          <w14:schemeClr w14:val="tx1">
            <w14:lumMod w14:val="65000"/>
            <w14:lumOff w14:val="35000"/>
          </w14:schemeClr>
        </w14:solidFill>
      </w14:textFill>
    </w:rPr>
  </w:style>
  <w:style w:type="character" w:customStyle="1" w:styleId="31">
    <w:name w:val="标题 字符"/>
    <w:basedOn w:val="21"/>
    <w:link w:val="19"/>
    <w:uiPriority w:val="10"/>
    <w:rPr>
      <w:rFonts w:asciiTheme="majorHAnsi" w:hAnsiTheme="majorHAnsi" w:eastAsiaTheme="majorEastAsia" w:cstheme="majorBidi"/>
      <w:spacing w:val="-10"/>
      <w:kern w:val="28"/>
      <w:sz w:val="56"/>
      <w:szCs w:val="56"/>
    </w:rPr>
  </w:style>
  <w:style w:type="character" w:customStyle="1" w:styleId="32">
    <w:name w:val="副标题 字符"/>
    <w:basedOn w:val="21"/>
    <w:link w:val="18"/>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spacing w:before="160" w:after="160"/>
      <w:jc w:val="center"/>
    </w:pPr>
    <w:rPr>
      <w:rFonts w:ascii="Times New Roman" w:hAnsi="Times New Roman" w:eastAsia="仿宋_GB2312"/>
      <w:i/>
      <w:iCs/>
      <w:color w:val="404040" w:themeColor="text1" w:themeTint="BF"/>
      <w:sz w:val="24"/>
      <w14:textFill>
        <w14:solidFill>
          <w14:schemeClr w14:val="tx1">
            <w14:lumMod w14:val="75000"/>
            <w14:lumOff w14:val="25000"/>
          </w14:schemeClr>
        </w14:solidFill>
      </w14:textFill>
    </w:rPr>
  </w:style>
  <w:style w:type="character" w:customStyle="1" w:styleId="34">
    <w:name w:val="引用 字符"/>
    <w:basedOn w:val="21"/>
    <w:link w:val="33"/>
    <w:uiPriority w:val="29"/>
    <w:rPr>
      <w:rFonts w:ascii="Times New Roman" w:hAnsi="Times New Roman" w:eastAsia="仿宋_GB2312" w:cs="Times New Roman"/>
      <w:i/>
      <w:iCs/>
      <w:color w:val="404040" w:themeColor="text1" w:themeTint="BF"/>
      <w:sz w:val="24"/>
      <w:szCs w:val="24"/>
      <w14:textFill>
        <w14:solidFill>
          <w14:schemeClr w14:val="tx1">
            <w14:lumMod w14:val="75000"/>
            <w14:lumOff w14:val="25000"/>
          </w14:schemeClr>
        </w14:solidFill>
      </w14:textFill>
    </w:rPr>
  </w:style>
  <w:style w:type="paragraph" w:styleId="35">
    <w:name w:val="List Paragraph"/>
    <w:basedOn w:val="1"/>
    <w:qFormat/>
    <w:uiPriority w:val="34"/>
    <w:pPr>
      <w:ind w:left="720"/>
      <w:contextualSpacing/>
    </w:pPr>
    <w:rPr>
      <w:rFonts w:ascii="Times New Roman" w:hAnsi="Times New Roman" w:eastAsia="仿宋_GB2312"/>
      <w:sz w:val="24"/>
    </w:rPr>
  </w:style>
  <w:style w:type="character" w:customStyle="1" w:styleId="36">
    <w:name w:val="Intense Emphasis"/>
    <w:basedOn w:val="21"/>
    <w:qFormat/>
    <w:uiPriority w:val="21"/>
    <w:rPr>
      <w:i/>
      <w:iCs/>
      <w:color w:val="2F5597" w:themeColor="accent1" w:themeShade="BF"/>
    </w:rPr>
  </w:style>
  <w:style w:type="paragraph" w:styleId="37">
    <w:name w:val="Intense Quote"/>
    <w:basedOn w:val="1"/>
    <w:next w:val="1"/>
    <w:link w:val="38"/>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rFonts w:ascii="Times New Roman" w:hAnsi="Times New Roman" w:eastAsia="仿宋_GB2312"/>
      <w:i/>
      <w:iCs/>
      <w:color w:val="2F5597" w:themeColor="accent1" w:themeShade="BF"/>
      <w:sz w:val="24"/>
    </w:rPr>
  </w:style>
  <w:style w:type="character" w:customStyle="1" w:styleId="38">
    <w:name w:val="明显引用 字符"/>
    <w:basedOn w:val="21"/>
    <w:link w:val="37"/>
    <w:uiPriority w:val="30"/>
    <w:rPr>
      <w:rFonts w:ascii="Times New Roman" w:hAnsi="Times New Roman" w:eastAsia="仿宋_GB2312" w:cs="Times New Roman"/>
      <w:i/>
      <w:iCs/>
      <w:color w:val="2F5597" w:themeColor="accent1" w:themeShade="BF"/>
      <w:sz w:val="24"/>
      <w:szCs w:val="24"/>
    </w:rPr>
  </w:style>
  <w:style w:type="character" w:customStyle="1" w:styleId="39">
    <w:name w:val="Intense Reference"/>
    <w:basedOn w:val="21"/>
    <w:qFormat/>
    <w:uiPriority w:val="32"/>
    <w:rPr>
      <w:b/>
      <w:bCs/>
      <w:smallCaps/>
      <w:color w:val="2F5597" w:themeColor="accent1" w:themeShade="BF"/>
      <w:spacing w:val="5"/>
    </w:rPr>
  </w:style>
  <w:style w:type="character" w:customStyle="1" w:styleId="40">
    <w:name w:val="正文文本缩进 2 字符"/>
    <w:basedOn w:val="21"/>
    <w:link w:val="2"/>
    <w:uiPriority w:val="0"/>
    <w:rPr>
      <w:rFonts w:ascii="Calibri" w:hAnsi="Calibri" w:eastAsia="方正仿宋_GBK" w:cs="Times New Roman"/>
      <w:spacing w:val="6"/>
      <w:sz w:val="30"/>
    </w:rPr>
  </w:style>
  <w:style w:type="character" w:customStyle="1" w:styleId="41">
    <w:name w:val="正文文本 字符"/>
    <w:basedOn w:val="21"/>
    <w:link w:val="12"/>
    <w:semiHidden/>
    <w:uiPriority w:val="0"/>
    <w:rPr>
      <w:rFonts w:ascii="Arial" w:hAnsi="Arial" w:eastAsia="Arial" w:cs="Arial"/>
      <w:szCs w:val="21"/>
      <w:lang w:eastAsia="en-US"/>
    </w:rPr>
  </w:style>
  <w:style w:type="character" w:customStyle="1" w:styleId="42">
    <w:name w:val="正文文本缩进 字符"/>
    <w:basedOn w:val="21"/>
    <w:link w:val="14"/>
    <w:uiPriority w:val="0"/>
    <w:rPr>
      <w:rFonts w:ascii="Calibri" w:hAnsi="Calibri" w:eastAsia="仿宋_GB2312" w:cs="Times New Roman"/>
      <w:sz w:val="30"/>
      <w:szCs w:val="24"/>
    </w:rPr>
  </w:style>
  <w:style w:type="character" w:customStyle="1" w:styleId="43">
    <w:name w:val="页眉 字符"/>
    <w:basedOn w:val="21"/>
    <w:link w:val="17"/>
    <w:uiPriority w:val="99"/>
    <w:rPr>
      <w:rFonts w:ascii="Calibri" w:hAnsi="Calibri" w:eastAsia="宋体" w:cs="Times New Roman"/>
      <w:sz w:val="18"/>
      <w:szCs w:val="18"/>
    </w:rPr>
  </w:style>
  <w:style w:type="character" w:customStyle="1" w:styleId="44">
    <w:name w:val="页脚 字符"/>
    <w:basedOn w:val="21"/>
    <w:link w:val="16"/>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1195</Words>
  <Characters>1356</Characters>
  <Lines>10</Lines>
  <Paragraphs>2</Paragraphs>
  <TotalTime>220</TotalTime>
  <ScaleCrop>false</ScaleCrop>
  <LinksUpToDate>false</LinksUpToDate>
  <CharactersWithSpaces>1379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2025-11-11T09:05:00Z</dcterms:created>
  <dc:creator>v</dc:creator>
  <cp:lastModifiedBy>～小太阳。</cp:lastModifiedBy>
  <dcterms:modified xsi:type="dcterms:W3CDTF">2025-12-05T01:41:41Z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eyJoZGlkIjoiN2JhZWQ5OTNmMDkxZjMwYjU4ZmUwNzc3NTdiZGUwY2IiLCJ1c2VySWQiOiIxMDc2NTE4NzkzIn0=</vt:lpwstr>
  </property>
  <property fmtid="{D5CDD505-2E9C-101B-9397-08002B2CF9AE}" pid="3" name="KSOProductBuildVer">
    <vt:lpwstr>2052-12.1.0.23542</vt:lpwstr>
  </property>
  <property fmtid="{D5CDD505-2E9C-101B-9397-08002B2CF9AE}" pid="4" name="ICV">
    <vt:lpwstr>A231BDDC759B411584F6EF9DD0B1EFFA_12</vt:lpwstr>
  </property>
</Properties>
</file>