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0CD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1670908148_WPSOffice_Level1"/>
      <w:bookmarkStart w:id="1" w:name="_Toc678217306_WPSOffice_Level1"/>
      <w:bookmarkStart w:id="2" w:name="_Toc178124550_WPSOffice_Level1"/>
      <w:bookmarkStart w:id="3" w:name="_Toc2123423747_WPSOffice_Level1"/>
    </w:p>
    <w:p w14:paraId="27A0944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3169FE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50993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C6A7819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5B0C7314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2D46454B"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EC6D649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85</w:t>
      </w:r>
      <w:r>
        <w:rPr>
          <w:rFonts w:hint="eastAsia" w:ascii="仿宋_GB2312" w:eastAsia="仿宋_GB2312"/>
          <w:sz w:val="32"/>
        </w:rPr>
        <w:t>号</w:t>
      </w:r>
    </w:p>
    <w:p w14:paraId="27ED1EE4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51499FA6">
      <w:pPr>
        <w:pStyle w:val="11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关于常德芷兰实验学校南广场改造工程</w:t>
      </w:r>
    </w:p>
    <w:p w14:paraId="352A6C43">
      <w:pPr>
        <w:pStyle w:val="11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预算执行的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</w:p>
    <w:p w14:paraId="37880DB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79843632">
      <w:pPr>
        <w:overflowPunct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科教</w:t>
      </w:r>
      <w:r>
        <w:rPr>
          <w:rFonts w:hint="eastAsia" w:ascii="仿宋_GB2312" w:hAnsi="仿宋_GB2312" w:eastAsia="仿宋_GB2312" w:cs="仿宋_GB2312"/>
          <w:sz w:val="32"/>
          <w:szCs w:val="32"/>
        </w:rPr>
        <w:t>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60200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常德芷兰实验学校南广场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改造工程》相关资料收悉，按照客观、公正、科学的评审原则，我中心组织对该项目开展预算执行评审，具体情况如下：</w:t>
      </w:r>
    </w:p>
    <w:p w14:paraId="478EBAB1">
      <w:pPr>
        <w:pStyle w:val="13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4" w:name="_Toc891472834_WPSOffice_Level1"/>
      <w:bookmarkStart w:id="5" w:name="_Toc215626143_WPSOffice_Level1"/>
      <w:bookmarkStart w:id="6" w:name="_Toc1862220243_WPSOffice_Level1"/>
      <w:bookmarkStart w:id="7" w:name="_Toc445877422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499D01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222933592_WPSOffice_Level2"/>
      <w:bookmarkStart w:id="9" w:name="_Toc472741964_WPSOffice_Level2"/>
      <w:bookmarkStart w:id="10" w:name="_Toc90632560_WPSOffice_Level2"/>
      <w:bookmarkStart w:id="11" w:name="_Toc1067922961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</w:p>
    <w:p w14:paraId="2749A68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项目根据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常德市发展和改革委员会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关于常德芷兰实验学校南广场改造工程的批复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发改社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〔2025〕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立项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估算总投资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390万元，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资金来源为政府投资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2B10B93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12" w:name="_Toc1069041809_WPSOffice_Level2"/>
      <w:bookmarkStart w:id="13" w:name="_Toc1446308865_WPSOffice_Level2"/>
      <w:bookmarkStart w:id="14" w:name="_Toc830963703_WPSOffice_Level2"/>
      <w:bookmarkStart w:id="15" w:name="_Toc1094448419_WPSOffice_Level2"/>
    </w:p>
    <w:p w14:paraId="4F8536F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</w:t>
      </w:r>
      <w:bookmarkEnd w:id="12"/>
      <w:bookmarkEnd w:id="13"/>
      <w:bookmarkEnd w:id="14"/>
      <w:bookmarkEnd w:id="15"/>
    </w:p>
    <w:p w14:paraId="01D6127C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项目主要改造内容：学校南广场现有铺装路面全部拆除、新建彩色沥青砼路面、花池整形、更换花岗岩树池及加装玻璃钢树池箅子、新建路灯及改造排水管网等。</w:t>
      </w:r>
    </w:p>
    <w:p w14:paraId="56ED41FE">
      <w:pPr>
        <w:pStyle w:val="13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16" w:name="_Toc976241670_WPSOffice_Level1"/>
      <w:bookmarkStart w:id="17" w:name="_Toc1890145904_WPSOffice_Level1"/>
      <w:bookmarkStart w:id="18" w:name="_Toc581615128_WPSOffice_Level1"/>
      <w:bookmarkStart w:id="19" w:name="_Toc182692291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67099E5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cs="仿宋_GB2312"/>
          <w:sz w:val="32"/>
          <w:szCs w:val="32"/>
        </w:rPr>
        <w:t>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016BF95F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770C4D1D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39ACC30E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常德市财政局《关于规范市本级政府投资项目前期服务性费用评审标准及实行PPP项目前期服务性费用打捆包干政策的通知》（常财办发〔2017〕68号）；</w:t>
      </w:r>
    </w:p>
    <w:p w14:paraId="023BA61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ascii="仿宋_GB2312" w:hAnsi="仿宋_GB2312" w:cs="仿宋_GB2312"/>
          <w:sz w:val="32"/>
          <w:szCs w:val="32"/>
        </w:rPr>
      </w:pPr>
      <w:bookmarkStart w:id="20" w:name="_Toc450291478_WPSOffice_Level2"/>
      <w:bookmarkStart w:id="21" w:name="_Toc680724078_WPSOffice_Level2"/>
      <w:bookmarkStart w:id="22" w:name="_Toc333544456_WPSOffice_Level2"/>
      <w:bookmarkStart w:id="23" w:name="_Toc479871566_WPSOffice_Level2"/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常德市建设工程造价管理站《关于公布常德市二○二五年第十期建设工程材料市场综合价的通知》（</w:t>
      </w:r>
      <w:r>
        <w:rPr>
          <w:rFonts w:hint="eastAsia" w:ascii="仿宋_GB2312"/>
          <w:sz w:val="32"/>
          <w:szCs w:val="32"/>
        </w:rPr>
        <w:t>常建价〔2025〕14号</w:t>
      </w:r>
      <w:r>
        <w:rPr>
          <w:rFonts w:hint="eastAsia" w:ascii="仿宋_GB2312" w:hAnsi="仿宋_GB2312" w:cs="仿宋_GB2312"/>
          <w:sz w:val="32"/>
          <w:szCs w:val="32"/>
        </w:rPr>
        <w:t>）及市场价格。</w:t>
      </w:r>
      <w:bookmarkEnd w:id="20"/>
      <w:bookmarkEnd w:id="21"/>
      <w:bookmarkEnd w:id="22"/>
      <w:bookmarkEnd w:id="23"/>
    </w:p>
    <w:p w14:paraId="455FF4A2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2"/>
        <w:rPr>
          <w:rFonts w:ascii="仿宋_GB2312" w:hAnsi="仿宋_GB2312" w:cs="仿宋_GB2312"/>
          <w:sz w:val="32"/>
          <w:szCs w:val="32"/>
        </w:rPr>
      </w:pPr>
      <w:bookmarkStart w:id="24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4"/>
    </w:p>
    <w:p w14:paraId="0D38C5BF">
      <w:pPr>
        <w:pStyle w:val="13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25" w:name="_Toc1890271026_WPSOffice_Level1"/>
      <w:bookmarkStart w:id="26" w:name="_Toc1699738589_WPSOffice_Level1"/>
      <w:bookmarkStart w:id="27" w:name="_Toc913869554_WPSOffice_Level1"/>
      <w:bookmarkStart w:id="28" w:name="_Toc757239869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5"/>
      <w:bookmarkEnd w:id="26"/>
      <w:bookmarkEnd w:id="27"/>
      <w:bookmarkEnd w:id="28"/>
    </w:p>
    <w:p w14:paraId="5606E12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3627472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3452801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元，审减金额为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174671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元。其中：工程费审减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140450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元，前期费审减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27199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元，不可预见费审减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元。审减主要原因如下：</w:t>
      </w:r>
    </w:p>
    <w:p w14:paraId="4873BA54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原树池处回填利用场内土方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5BFF46F2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bookmarkStart w:id="29" w:name="_Toc1954155083_WPSOffice_Level1"/>
      <w:bookmarkStart w:id="30" w:name="_Toc1156470918_WPSOffice_Level1"/>
      <w:bookmarkStart w:id="31" w:name="_Toc308870453_WPSOffice_Level1"/>
      <w:bookmarkStart w:id="32" w:name="_Toc545252939_WPSOffice_Level1"/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胀缝工程量少报，已按设计要求调增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61C5BA1B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改性沥青粘层子目套用有误。</w:t>
      </w:r>
    </w:p>
    <w:p w14:paraId="0F1050D0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室外排水管土方、路面边缘钢筋、道路传力杆等工程量多计，已进行调整。</w:t>
      </w:r>
    </w:p>
    <w:p w14:paraId="706B9C3C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彩色沥青砼、</w:t>
      </w:r>
      <w:r>
        <w:rPr>
          <w:rFonts w:hint="default" w:ascii="仿宋_GB2312" w:hAnsi="仿宋_GB2312" w:cs="仿宋_GB2312"/>
          <w:color w:val="000000"/>
          <w:sz w:val="32"/>
          <w:szCs w:val="32"/>
          <w:lang w:val="en-US" w:eastAsia="zh-CN"/>
        </w:rPr>
        <w:t>玻璃钢树池箅子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、</w:t>
      </w:r>
      <w:r>
        <w:rPr>
          <w:rFonts w:hint="default" w:ascii="仿宋_GB2312" w:hAnsi="仿宋_GB2312" w:cs="仿宋_GB2312"/>
          <w:color w:val="000000"/>
          <w:sz w:val="32"/>
          <w:szCs w:val="32"/>
          <w:lang w:val="en-US" w:eastAsia="zh-CN"/>
        </w:rPr>
        <w:t>HDPE双壁波纹管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等价格偏高，已进行调整。</w:t>
      </w:r>
    </w:p>
    <w:p w14:paraId="20D7BD09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前期费中第三方结算审核费按基本付费6000元暂列，渣土消纳费按12元/m</w:t>
      </w:r>
      <w:r>
        <w:rPr>
          <w:rFonts w:hint="eastAsia" w:ascii="仿宋_GB2312" w:hAnsi="仿宋_GB2312" w:cs="仿宋_GB2312"/>
          <w:color w:val="000000"/>
          <w:sz w:val="32"/>
          <w:szCs w:val="32"/>
          <w:vertAlign w:val="superscript"/>
          <w:lang w:val="en-US" w:eastAsia="zh-CN"/>
        </w:rPr>
        <w:t>3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暂列。</w:t>
      </w:r>
    </w:p>
    <w:p w14:paraId="5A88D344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四、存在的问题及建议</w:t>
      </w:r>
      <w:bookmarkEnd w:id="29"/>
      <w:bookmarkEnd w:id="30"/>
      <w:bookmarkEnd w:id="31"/>
      <w:bookmarkEnd w:id="32"/>
    </w:p>
    <w:p w14:paraId="3B89F96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现场踏勘，入口广场地面基本平整，无明显凹陷，仅广场砖部分破裂。现设计作法：换填50cm黄土+10cm厚级配碎石垫层+20cm厚新浇C30水泥砼板+板缝处贴抗裂贴+改性沥青粘层+经编复合防裂布一层+乳化沥青粘层+5cm中粒式沥青砼+乳化沥青粘层+4cm细粒式彩色沥青砼。地勘报告显示该基层均已完成自重固结，针对评审提出的基层换填必要性问题，设计回复原填筑层承载力为90Kpa，道路设计规范要求承载力不低于120Kpa，因广场考虑大车停放，故按道路路基要求设计了50cm的黄土换填。建议建设单位督促施工、监理单位严格按照设计和规范要求把控好工程质量。</w:t>
      </w:r>
    </w:p>
    <w:p w14:paraId="18192A5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广场面层设计做法为4cm细粒式彩色沥青砼，经市场调查及与设计院沟通，彩色沥青砼中的胶结料一般为浅色或无色，且必须使用浅色集料和耐侯性好、耐磨的无机颜料，故彩色沥青砼比普通沥青砼主材价格要高很多，建议工程实施时要着重关注彩色沥青砼的材料配合比，以达到设计效果。</w:t>
      </w:r>
    </w:p>
    <w:p w14:paraId="0F4C008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 宣传栏制作、石凳、石桌及条椅无详细设计，按送审金额66000元暂列，实施时应按相关规定做好质量监督、价格确认工作。</w:t>
      </w:r>
    </w:p>
    <w:p w14:paraId="666739B0">
      <w:pPr>
        <w:pStyle w:val="13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ascii="黑体" w:hAnsi="黑体" w:eastAsia="黑体" w:cs="黑体"/>
          <w:color w:val="000000"/>
          <w:sz w:val="32"/>
          <w:szCs w:val="32"/>
        </w:rPr>
      </w:pPr>
      <w:bookmarkStart w:id="33" w:name="_Toc669635750_WPSOffice_Level1"/>
      <w:bookmarkStart w:id="34" w:name="_Toc1244274959_WPSOffice_Level1"/>
      <w:bookmarkStart w:id="35" w:name="_Toc391484743_WPSOffice_Level1"/>
      <w:bookmarkStart w:id="36" w:name="_Toc340961487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五、有关事项说明</w:t>
      </w:r>
      <w:bookmarkEnd w:id="33"/>
      <w:bookmarkEnd w:id="34"/>
      <w:bookmarkEnd w:id="35"/>
      <w:bookmarkEnd w:id="36"/>
    </w:p>
    <w:p w14:paraId="211D0E7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评审结果是该项目财政预算控制上限，作为预算执行的重要依据，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。请</w:t>
      </w:r>
      <w:r>
        <w:rPr>
          <w:rFonts w:hint="eastAsia" w:ascii="Times New Roman" w:hAnsi="Times New Roman" w:eastAsia="仿宋_GB2312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5DF4315F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项目预算控制上限依据项目单位提供的设计图纸、施工方案，参照相关法律法规、行业规范标准及市场询价结果出具。若因送审资料完整性不足、准确性欠缺等情形导致的偏差，相关责任由项目单位自行承担。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  <w:bookmarkStart w:id="37" w:name="_GoBack"/>
      <w:bookmarkEnd w:id="37"/>
    </w:p>
    <w:p w14:paraId="37BC9488"/>
    <w:p w14:paraId="5D4CA25D">
      <w:pPr>
        <w:overflowPunct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89AF4E7">
      <w:pPr>
        <w:overflowPunct w:val="0"/>
        <w:ind w:firstLine="640" w:firstLineChars="200"/>
        <w:jc w:val="right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4BB23768">
      <w:pPr>
        <w:pStyle w:val="15"/>
        <w:wordWrap w:val="0"/>
        <w:spacing w:line="600" w:lineRule="exact"/>
        <w:ind w:left="5460" w:right="332" w:hanging="73"/>
        <w:jc w:val="center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6F161776">
      <w:pPr>
        <w:widowControl/>
        <w:jc w:val="left"/>
        <w:rPr>
          <w:rFonts w:ascii="仿宋_GB2312" w:eastAsia="仿宋_GB2312"/>
          <w:sz w:val="32"/>
          <w:szCs w:val="32"/>
        </w:rPr>
      </w:pPr>
    </w:p>
    <w:p w14:paraId="1A6F441C">
      <w:pPr>
        <w:widowControl/>
        <w:jc w:val="left"/>
        <w:rPr>
          <w:rFonts w:ascii="仿宋_GB2312" w:eastAsia="仿宋_GB2312"/>
          <w:sz w:val="32"/>
          <w:szCs w:val="32"/>
        </w:rPr>
      </w:pPr>
    </w:p>
    <w:p w14:paraId="15498A2C">
      <w:pPr>
        <w:widowControl/>
        <w:jc w:val="left"/>
        <w:rPr>
          <w:rFonts w:hint="eastAsia" w:ascii="仿宋_GB2312" w:eastAsia="仿宋_GB2312"/>
          <w:sz w:val="32"/>
          <w:szCs w:val="32"/>
          <w:lang w:eastAsia="zh-CN"/>
        </w:rPr>
      </w:pPr>
    </w:p>
    <w:p w14:paraId="1B2953C0">
      <w:pPr>
        <w:widowControl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附表：</w:t>
      </w:r>
    </w:p>
    <w:tbl>
      <w:tblPr>
        <w:tblStyle w:val="20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3232"/>
        <w:gridCol w:w="1282"/>
        <w:gridCol w:w="1281"/>
        <w:gridCol w:w="1282"/>
        <w:gridCol w:w="1645"/>
      </w:tblGrid>
      <w:tr w14:paraId="330775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9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6E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常德芷兰实验学校南广场改造工程</w:t>
            </w:r>
          </w:p>
          <w:p w14:paraId="5E6A1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预算执行评审汇总表</w:t>
            </w:r>
          </w:p>
        </w:tc>
      </w:tr>
      <w:tr w14:paraId="68BFA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C2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3F1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2149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金额单位：元</w:t>
            </w:r>
          </w:p>
        </w:tc>
      </w:tr>
      <w:tr w14:paraId="4FAFDD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C98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60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28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送审金额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47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审定金额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38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审减金额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60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注</w:t>
            </w:r>
          </w:p>
        </w:tc>
      </w:tr>
      <w:tr w14:paraId="6469E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57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A46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A4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3146525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E97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3006075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76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140450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568C1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53D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16F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CF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广场地面工程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64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2651086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4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2548266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1E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102820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F8DC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4956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64F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D1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84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89045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449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87266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8F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1779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E9004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431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036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1A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F29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406394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5C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370543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A6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35851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D0BF5B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507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65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198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不可预见费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8D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157326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7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150304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0CF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7022 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EA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5%</w:t>
            </w:r>
          </w:p>
        </w:tc>
      </w:tr>
      <w:tr w14:paraId="2344E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24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三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8C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前期费用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18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323621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79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296422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2C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27199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B25CA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5E6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FA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046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造价编制咨询费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E3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17576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F8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16792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894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784 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C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常财办发[2017]68号文</w:t>
            </w:r>
          </w:p>
        </w:tc>
      </w:tr>
      <w:tr w14:paraId="70B25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A7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C1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79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62249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8D02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59471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D9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2778 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558F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21E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0E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DFD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C9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80683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3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71533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14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9150 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92EA5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E163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A2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70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检测费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27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22655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E9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21644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62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1011 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0CF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DD12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6B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791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管道竣工验收CCTV检测费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6D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8583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50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6338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983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2245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9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12元/m</w:t>
            </w:r>
          </w:p>
        </w:tc>
      </w:tr>
      <w:tr w14:paraId="2405C1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CF2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E0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建设单位管理费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39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28319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CD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27055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ED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1264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E3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0.9%</w:t>
            </w:r>
          </w:p>
        </w:tc>
      </w:tr>
      <w:tr w14:paraId="0E055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E8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4A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C8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4090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EDE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3908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D1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182 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93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常财办发[2017]68号文</w:t>
            </w:r>
          </w:p>
        </w:tc>
      </w:tr>
      <w:tr w14:paraId="34A0C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050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44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地勘费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92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15733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D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6C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703 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000C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E548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324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525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第三方结算审核费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25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11192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D6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6000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7D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5192 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F5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暂列</w:t>
            </w:r>
          </w:p>
        </w:tc>
      </w:tr>
      <w:tr w14:paraId="2E4A2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22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6E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渣土消纳费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10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49021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5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47417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486F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1604 </w:t>
            </w: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2BED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5B64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80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6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采购代理费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AE56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22020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B4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21234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C7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786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D6F4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BADC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FC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6A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专家评审费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EF9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182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15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1500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B891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C62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11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 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1F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3627472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1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3452801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39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174671 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CF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4.82%</w:t>
            </w:r>
          </w:p>
        </w:tc>
      </w:tr>
    </w:tbl>
    <w:p w14:paraId="1E312CDD">
      <w:pPr>
        <w:widowControl/>
        <w:jc w:val="left"/>
        <w:rPr>
          <w:rFonts w:ascii="仿宋_GB2312" w:eastAsia="仿宋_GB2312"/>
          <w:sz w:val="32"/>
          <w:szCs w:val="32"/>
        </w:rPr>
      </w:pPr>
    </w:p>
    <w:p w14:paraId="46B51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2154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02FB757A"/>
    <w:multiLevelType w:val="multilevel"/>
    <w:tmpl w:val="02FB757A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85B23"/>
    <w:rsid w:val="001215E9"/>
    <w:rsid w:val="00124BA6"/>
    <w:rsid w:val="001479F8"/>
    <w:rsid w:val="0021362D"/>
    <w:rsid w:val="00224739"/>
    <w:rsid w:val="002550DA"/>
    <w:rsid w:val="002910E0"/>
    <w:rsid w:val="00293F9D"/>
    <w:rsid w:val="002A76CD"/>
    <w:rsid w:val="0030666D"/>
    <w:rsid w:val="003459A7"/>
    <w:rsid w:val="00355006"/>
    <w:rsid w:val="003B1247"/>
    <w:rsid w:val="003C1927"/>
    <w:rsid w:val="003E7F11"/>
    <w:rsid w:val="00441C6A"/>
    <w:rsid w:val="00484DFC"/>
    <w:rsid w:val="004A70E5"/>
    <w:rsid w:val="004B2325"/>
    <w:rsid w:val="004D08C3"/>
    <w:rsid w:val="00530125"/>
    <w:rsid w:val="00597761"/>
    <w:rsid w:val="005C25C6"/>
    <w:rsid w:val="005E03B0"/>
    <w:rsid w:val="00617840"/>
    <w:rsid w:val="006365E1"/>
    <w:rsid w:val="00643849"/>
    <w:rsid w:val="00684E64"/>
    <w:rsid w:val="006908F6"/>
    <w:rsid w:val="006F4ED8"/>
    <w:rsid w:val="007674DA"/>
    <w:rsid w:val="00783187"/>
    <w:rsid w:val="007977F1"/>
    <w:rsid w:val="00885C95"/>
    <w:rsid w:val="008949B8"/>
    <w:rsid w:val="008C6E6E"/>
    <w:rsid w:val="00957E17"/>
    <w:rsid w:val="009729BD"/>
    <w:rsid w:val="00983433"/>
    <w:rsid w:val="00987E15"/>
    <w:rsid w:val="009A5363"/>
    <w:rsid w:val="009D0076"/>
    <w:rsid w:val="009D294F"/>
    <w:rsid w:val="009E1678"/>
    <w:rsid w:val="009E3E4E"/>
    <w:rsid w:val="00A20CF8"/>
    <w:rsid w:val="00A83634"/>
    <w:rsid w:val="00AE318F"/>
    <w:rsid w:val="00B10D36"/>
    <w:rsid w:val="00B131C8"/>
    <w:rsid w:val="00B13E31"/>
    <w:rsid w:val="00B57111"/>
    <w:rsid w:val="00B93D71"/>
    <w:rsid w:val="00B97A21"/>
    <w:rsid w:val="00BB045A"/>
    <w:rsid w:val="00BD2724"/>
    <w:rsid w:val="00BF1B1B"/>
    <w:rsid w:val="00C160E8"/>
    <w:rsid w:val="00C3151B"/>
    <w:rsid w:val="00C363A1"/>
    <w:rsid w:val="00C60121"/>
    <w:rsid w:val="00C810E0"/>
    <w:rsid w:val="00C879BE"/>
    <w:rsid w:val="00CB2A73"/>
    <w:rsid w:val="00CC1F81"/>
    <w:rsid w:val="00D40239"/>
    <w:rsid w:val="00D45129"/>
    <w:rsid w:val="00D505AA"/>
    <w:rsid w:val="00D62C9B"/>
    <w:rsid w:val="00D83731"/>
    <w:rsid w:val="00DA4780"/>
    <w:rsid w:val="00DB1BF1"/>
    <w:rsid w:val="00DC5B31"/>
    <w:rsid w:val="00DD2057"/>
    <w:rsid w:val="00DE41FE"/>
    <w:rsid w:val="00E254A1"/>
    <w:rsid w:val="00ED1673"/>
    <w:rsid w:val="00F36E1D"/>
    <w:rsid w:val="00F67CB7"/>
    <w:rsid w:val="00F85FF3"/>
    <w:rsid w:val="00FE121F"/>
    <w:rsid w:val="00FE4C73"/>
    <w:rsid w:val="05B71062"/>
    <w:rsid w:val="0DBF4571"/>
    <w:rsid w:val="1228646B"/>
    <w:rsid w:val="175E319B"/>
    <w:rsid w:val="322D4EE9"/>
    <w:rsid w:val="4E36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next w:val="12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2">
    <w:name w:val="toc 9"/>
    <w:basedOn w:val="1"/>
    <w:next w:val="1"/>
    <w:autoRedefine/>
    <w:semiHidden/>
    <w:unhideWhenUsed/>
    <w:qFormat/>
    <w:uiPriority w:val="39"/>
    <w:pPr>
      <w:ind w:left="3360" w:leftChars="1600"/>
    </w:pPr>
  </w:style>
  <w:style w:type="paragraph" w:styleId="13">
    <w:name w:val="Body Text Indent"/>
    <w:basedOn w:val="1"/>
    <w:next w:val="14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4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5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6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7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8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9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0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15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1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3"/>
    <w:qFormat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1697</Words>
  <Characters>2062</Characters>
  <Lines>10</Lines>
  <Paragraphs>2</Paragraphs>
  <TotalTime>141</TotalTime>
  <ScaleCrop>false</ScaleCrop>
  <LinksUpToDate>false</LinksUpToDate>
  <CharactersWithSpaces>2129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2025-11-11T09:05:00Z</dcterms:created>
  <dc:creator>v</dc:creator>
  <cp:lastModifiedBy>～小太阳。</cp:lastModifiedBy>
  <cp:lastPrinted>2025-12-08T08:14:00Z</cp:lastPrinted>
  <dcterms:modified xsi:type="dcterms:W3CDTF">2025-12-09T03:58:07Z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2052-12.1.0.24034</vt:lpwstr>
  </property>
  <property fmtid="{D5CDD505-2E9C-101B-9397-08002B2CF9AE}" pid="4" name="ICV">
    <vt:lpwstr>A231BDDC759B411584F6EF9DD0B1EFFA_12</vt:lpwstr>
  </property>
</Properties>
</file>