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647910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0"/>
        <w:rPr>
          <w:rFonts w:ascii="Times New Roman" w:hAnsi="Times New Roman" w:eastAsia="方正小标宋_GBK" w:cs="Times New Roman"/>
          <w:color w:val="000000"/>
          <w:sz w:val="44"/>
          <w:lang w:eastAsia="zh-CN"/>
        </w:rPr>
      </w:pPr>
      <w:bookmarkStart w:id="0" w:name="_Toc2123423747_WPSOffice_Level1"/>
      <w:bookmarkStart w:id="1" w:name="_Toc1670908148_WPSOffice_Level1"/>
      <w:bookmarkStart w:id="2" w:name="_Toc678217306_WPSOffice_Level1"/>
      <w:bookmarkStart w:id="3" w:name="_Toc178124550_WPSOffice_Level1"/>
    </w:p>
    <w:p w14:paraId="68023750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0"/>
      </w:pPr>
    </w:p>
    <w:p w14:paraId="7EDCB7B8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</w:pPr>
    </w:p>
    <w:p w14:paraId="004E44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</w:pPr>
    </w:p>
    <w:p w14:paraId="470B0C9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</w:pPr>
    </w:p>
    <w:p w14:paraId="09114C0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</w:pPr>
    </w:p>
    <w:p w14:paraId="7B2D525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</w:pPr>
    </w:p>
    <w:p w14:paraId="6F768120">
      <w:pPr>
        <w:spacing w:line="600" w:lineRule="exact"/>
        <w:jc w:val="center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常财审</w:t>
      </w:r>
      <w:r>
        <w:rPr>
          <w:rFonts w:hint="eastAsia" w:ascii="仿宋_GB2312" w:hAnsi="仿宋_GB2312" w:eastAsia="仿宋_GB2312"/>
          <w:sz w:val="32"/>
        </w:rPr>
        <w:t>〔2025〕预</w:t>
      </w:r>
      <w:r>
        <w:rPr>
          <w:rFonts w:hint="eastAsia" w:ascii="仿宋_GB2312" w:eastAsia="仿宋_GB2312"/>
          <w:sz w:val="32"/>
        </w:rPr>
        <w:t>字</w:t>
      </w:r>
      <w:r>
        <w:rPr>
          <w:rFonts w:hint="eastAsia" w:ascii="仿宋_GB2312" w:eastAsia="仿宋_GB2312"/>
          <w:sz w:val="32"/>
          <w:lang w:val="en-US" w:eastAsia="zh-CN"/>
        </w:rPr>
        <w:t>86</w:t>
      </w:r>
      <w:r>
        <w:rPr>
          <w:rFonts w:hint="eastAsia" w:ascii="仿宋_GB2312" w:eastAsia="仿宋_GB2312"/>
          <w:sz w:val="32"/>
        </w:rPr>
        <w:t>号</w:t>
      </w:r>
    </w:p>
    <w:p w14:paraId="1525D9CC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0"/>
        <w:rPr>
          <w:rFonts w:ascii="Times New Roman" w:hAnsi="Times New Roman" w:eastAsia="方正小标宋_GBK" w:cs="Times New Roman"/>
          <w:color w:val="000000"/>
          <w:sz w:val="44"/>
          <w:lang w:eastAsia="zh-CN"/>
        </w:rPr>
      </w:pPr>
    </w:p>
    <w:p w14:paraId="02F2C829">
      <w:pPr>
        <w:pStyle w:val="12"/>
        <w:spacing w:line="600" w:lineRule="exact"/>
        <w:jc w:val="center"/>
        <w:outlineLvl w:val="0"/>
        <w:rPr>
          <w:rFonts w:hint="eastAsia" w:ascii="宋体" w:hAnsi="宋体" w:eastAsia="宋体" w:cs="宋体"/>
          <w:color w:val="000000"/>
          <w:sz w:val="4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44"/>
          <w:lang w:eastAsia="zh-CN"/>
        </w:rPr>
        <w:t>关于</w:t>
      </w:r>
      <w:r>
        <w:rPr>
          <w:rFonts w:hint="eastAsia" w:ascii="宋体" w:hAnsi="宋体" w:eastAsia="宋体" w:cs="宋体"/>
          <w:color w:val="000000"/>
          <w:sz w:val="44"/>
          <w:lang w:val="en-US" w:eastAsia="zh-CN"/>
        </w:rPr>
        <w:t>芙蓉北路（筑基路-太阳大道）电力迁改</w:t>
      </w:r>
    </w:p>
    <w:p w14:paraId="743DD0BE">
      <w:pPr>
        <w:pStyle w:val="12"/>
        <w:spacing w:line="600" w:lineRule="exact"/>
        <w:jc w:val="center"/>
        <w:outlineLvl w:val="0"/>
        <w:rPr>
          <w:rFonts w:hint="eastAsia" w:ascii="宋体" w:hAnsi="宋体" w:eastAsia="宋体" w:cs="宋体"/>
          <w:color w:val="000000"/>
          <w:sz w:val="44"/>
          <w:lang w:eastAsia="zh-CN"/>
        </w:rPr>
      </w:pPr>
      <w:r>
        <w:rPr>
          <w:rFonts w:hint="eastAsia" w:ascii="宋体" w:hAnsi="宋体" w:eastAsia="宋体" w:cs="宋体"/>
          <w:color w:val="000000"/>
          <w:sz w:val="44"/>
          <w:lang w:eastAsia="zh-CN"/>
        </w:rPr>
        <w:t>预算执行的</w:t>
      </w:r>
      <w:bookmarkEnd w:id="0"/>
      <w:bookmarkEnd w:id="1"/>
      <w:bookmarkEnd w:id="2"/>
      <w:bookmarkEnd w:id="3"/>
      <w:r>
        <w:rPr>
          <w:rFonts w:hint="eastAsia" w:ascii="宋体" w:hAnsi="宋体" w:eastAsia="宋体" w:cs="宋体"/>
          <w:color w:val="000000"/>
          <w:sz w:val="44"/>
          <w:lang w:eastAsia="zh-CN"/>
        </w:rPr>
        <w:t>评审报告</w:t>
      </w:r>
    </w:p>
    <w:p w14:paraId="3BDAD36A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</w:p>
    <w:p w14:paraId="5B9187D9">
      <w:pPr>
        <w:overflowPunct w:val="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常德市财政局经济建设科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：</w:t>
      </w:r>
    </w:p>
    <w:p w14:paraId="53C5588D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20" w:lineRule="exact"/>
        <w:ind w:left="0" w:firstLine="640" w:firstLineChars="200"/>
        <w:textAlignment w:val="auto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芙蓉北路（筑基路-太阳大道）电力迁改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》相关资料收悉，按照客观、公正、科学的评审原则，我中心组织对该项目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电力迁改工程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开展预算执行评审，具体情况如下：</w:t>
      </w:r>
    </w:p>
    <w:p w14:paraId="486983D9">
      <w:pPr>
        <w:pStyle w:val="14"/>
        <w:keepNext w:val="0"/>
        <w:keepLines w:val="0"/>
        <w:pageBreakBefore w:val="0"/>
        <w:widowControl w:val="0"/>
        <w:tabs>
          <w:tab w:val="left" w:pos="6266"/>
        </w:tabs>
        <w:kinsoku/>
        <w:wordWrap/>
        <w:topLinePunct w:val="0"/>
        <w:autoSpaceDE/>
        <w:autoSpaceDN/>
        <w:bidi w:val="0"/>
        <w:adjustRightInd/>
        <w:snapToGrid/>
        <w:spacing w:line="520" w:lineRule="exact"/>
        <w:ind w:left="0" w:firstLine="640" w:firstLineChars="200"/>
        <w:textAlignment w:val="auto"/>
        <w:outlineLvl w:val="0"/>
        <w:rPr>
          <w:rFonts w:ascii="黑体" w:hAnsi="黑体" w:eastAsia="黑体" w:cs="黑体"/>
          <w:color w:val="000000"/>
          <w:sz w:val="32"/>
          <w:szCs w:val="32"/>
        </w:rPr>
      </w:pPr>
      <w:bookmarkStart w:id="4" w:name="_Toc891472834_WPSOffice_Level1"/>
      <w:bookmarkStart w:id="5" w:name="_Toc445877422_WPSOffice_Level1"/>
      <w:bookmarkStart w:id="6" w:name="_Toc215626143_WPSOffice_Level1"/>
      <w:bookmarkStart w:id="7" w:name="_Toc1862220243_WPSOffice_Level1"/>
      <w:r>
        <w:rPr>
          <w:rFonts w:hint="eastAsia" w:ascii="黑体" w:hAnsi="黑体" w:eastAsia="黑体" w:cs="黑体"/>
          <w:color w:val="000000"/>
          <w:sz w:val="32"/>
          <w:szCs w:val="32"/>
        </w:rPr>
        <w:t>一、项目概况</w:t>
      </w:r>
      <w:bookmarkEnd w:id="4"/>
      <w:bookmarkEnd w:id="5"/>
      <w:bookmarkEnd w:id="6"/>
      <w:bookmarkEnd w:id="7"/>
    </w:p>
    <w:p w14:paraId="5D9B1F9C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20" w:lineRule="exact"/>
        <w:ind w:left="0" w:firstLine="643" w:firstLineChars="200"/>
        <w:textAlignment w:val="auto"/>
        <w:outlineLvl w:val="1"/>
        <w:rPr>
          <w:rFonts w:ascii="Times New Roman" w:hAnsi="Times New Roman" w:eastAsia="楷体_GB2312"/>
          <w:b/>
          <w:bCs/>
          <w:sz w:val="32"/>
          <w:szCs w:val="32"/>
        </w:rPr>
      </w:pPr>
      <w:bookmarkStart w:id="8" w:name="_Toc1067922961_WPSOffice_Level2"/>
      <w:bookmarkStart w:id="9" w:name="_Toc222933592_WPSOffice_Level2"/>
      <w:bookmarkStart w:id="10" w:name="_Toc472741964_WPSOffice_Level2"/>
      <w:bookmarkStart w:id="11" w:name="_Toc90632560_WPSOffice_Level2"/>
      <w:r>
        <w:rPr>
          <w:rFonts w:ascii="Times New Roman" w:hAnsi="Times New Roman" w:eastAsia="楷体_GB2312"/>
          <w:b/>
          <w:bCs/>
          <w:sz w:val="32"/>
          <w:szCs w:val="32"/>
        </w:rPr>
        <w:t>（一）项目基本情况</w:t>
      </w:r>
      <w:bookmarkEnd w:id="8"/>
      <w:bookmarkEnd w:id="9"/>
      <w:bookmarkEnd w:id="10"/>
      <w:bookmarkEnd w:id="11"/>
      <w:bookmarkStart w:id="33" w:name="_GoBack"/>
      <w:bookmarkEnd w:id="33"/>
    </w:p>
    <w:p w14:paraId="34427299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20" w:lineRule="exact"/>
        <w:ind w:left="0" w:firstLine="640" w:firstLineChars="200"/>
        <w:textAlignment w:val="auto"/>
        <w:rPr>
          <w:rFonts w:ascii="仿宋_GB2312" w:hAnsi="仿宋_GB2312" w:eastAsia="仿宋_GB2312" w:cs="仿宋_GB2312"/>
          <w:color w:val="000000"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芙蓉北路（筑基路-太阳大道）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属于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2019年政府投资计划内项目，于2025年完成调概程序，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根据《常德市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发展和改革委员会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&lt;关于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调整芙蓉北路（筑基路-太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阳大道）项目可行性研究报告的批复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&gt;》（常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发改投资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〔2025〕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258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号）立项。</w:t>
      </w:r>
    </w:p>
    <w:p w14:paraId="7ECCD443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outlineLvl w:val="1"/>
        <w:rPr>
          <w:rFonts w:ascii="Times New Roman" w:hAnsi="Times New Roman" w:eastAsia="楷体_GB2312"/>
          <w:b/>
          <w:bCs/>
          <w:sz w:val="32"/>
          <w:szCs w:val="32"/>
        </w:rPr>
      </w:pPr>
      <w:bookmarkStart w:id="12" w:name="_Toc830963703_WPSOffice_Level2"/>
      <w:bookmarkStart w:id="13" w:name="_Toc1446308865_WPSOffice_Level2"/>
      <w:bookmarkStart w:id="14" w:name="_Toc1069041809_WPSOffice_Level2"/>
      <w:bookmarkStart w:id="15" w:name="_Toc1094448419_WPSOffice_Level2"/>
      <w:r>
        <w:rPr>
          <w:rFonts w:ascii="Times New Roman" w:hAnsi="Times New Roman" w:eastAsia="楷体_GB2312"/>
          <w:b/>
          <w:bCs/>
          <w:sz w:val="32"/>
          <w:szCs w:val="32"/>
        </w:rPr>
        <w:t>（二）项目主要内容及申报预算情况</w:t>
      </w:r>
      <w:bookmarkEnd w:id="12"/>
      <w:bookmarkEnd w:id="13"/>
      <w:bookmarkEnd w:id="14"/>
      <w:bookmarkEnd w:id="15"/>
    </w:p>
    <w:p w14:paraId="5D6ACE76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20" w:lineRule="exact"/>
        <w:ind w:left="0" w:firstLine="640" w:firstLineChars="200"/>
        <w:textAlignment w:val="auto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为解决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芙蓉北路（筑基路-太阳大道）电力架空线路入地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问题，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常德市城投龙马建设项目管理有限公司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申报对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芙蓉北路（筑基路-太阳大道）段敷设电力电缆YJV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vertAlign w:val="subscript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-3*170mm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vertAlign w:val="superscript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175m、非开挖拖管2*φ167mm 135m；砌筑电缆三页井1座、人孔井2座；安装横档、金具等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。估算资金约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24.6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万元。</w:t>
      </w:r>
    </w:p>
    <w:p w14:paraId="2BB030D6">
      <w:pPr>
        <w:pStyle w:val="14"/>
        <w:keepNext w:val="0"/>
        <w:keepLines w:val="0"/>
        <w:pageBreakBefore w:val="0"/>
        <w:widowControl w:val="0"/>
        <w:tabs>
          <w:tab w:val="left" w:pos="6266"/>
        </w:tabs>
        <w:kinsoku/>
        <w:wordWrap/>
        <w:topLinePunct w:val="0"/>
        <w:autoSpaceDE/>
        <w:autoSpaceDN/>
        <w:bidi w:val="0"/>
        <w:adjustRightInd/>
        <w:snapToGrid/>
        <w:spacing w:line="520" w:lineRule="exact"/>
        <w:ind w:left="0" w:firstLine="640" w:firstLineChars="200"/>
        <w:textAlignment w:val="auto"/>
        <w:outlineLvl w:val="0"/>
        <w:rPr>
          <w:rFonts w:ascii="黑体" w:hAnsi="黑体" w:eastAsia="黑体" w:cs="黑体"/>
          <w:color w:val="000000"/>
          <w:sz w:val="32"/>
          <w:szCs w:val="32"/>
        </w:rPr>
      </w:pPr>
      <w:bookmarkStart w:id="16" w:name="_Toc182692291_WPSOffice_Level1"/>
      <w:bookmarkStart w:id="17" w:name="_Toc976241670_WPSOffice_Level1"/>
      <w:bookmarkStart w:id="18" w:name="_Toc581615128_WPSOffice_Level1"/>
      <w:bookmarkStart w:id="19" w:name="_Toc1890145904_WPSOffice_Level1"/>
      <w:r>
        <w:rPr>
          <w:rFonts w:hint="eastAsia" w:ascii="黑体" w:hAnsi="黑体" w:eastAsia="黑体" w:cs="黑体"/>
          <w:color w:val="000000"/>
          <w:sz w:val="32"/>
          <w:szCs w:val="32"/>
        </w:rPr>
        <w:t>二、评审依据</w:t>
      </w:r>
      <w:bookmarkEnd w:id="16"/>
      <w:bookmarkEnd w:id="17"/>
      <w:bookmarkEnd w:id="18"/>
      <w:bookmarkEnd w:id="19"/>
    </w:p>
    <w:p w14:paraId="41F110E5">
      <w:pPr>
        <w:pStyle w:val="3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topLinePunct w:val="0"/>
        <w:autoSpaceDE/>
        <w:autoSpaceDN/>
        <w:bidi w:val="0"/>
        <w:adjustRightInd/>
        <w:snapToGrid/>
        <w:spacing w:line="520" w:lineRule="exact"/>
        <w:ind w:left="0" w:firstLine="640" w:firstLineChars="200"/>
        <w:textAlignment w:val="auto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《中华人民共和国预算法》《中华人民共和国预算法实施条例》</w:t>
      </w:r>
      <w:r>
        <w:rPr>
          <w:rFonts w:hint="eastAsia" w:ascii="仿宋_GB2312" w:hAnsi="仿宋_GB2312" w:cs="仿宋_GB2312"/>
          <w:bCs/>
          <w:sz w:val="32"/>
          <w:szCs w:val="32"/>
        </w:rPr>
        <w:t>等法律法规。</w:t>
      </w:r>
    </w:p>
    <w:p w14:paraId="69933E20">
      <w:pPr>
        <w:pStyle w:val="3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topLinePunct w:val="0"/>
        <w:autoSpaceDE/>
        <w:autoSpaceDN/>
        <w:bidi w:val="0"/>
        <w:adjustRightInd/>
        <w:snapToGrid/>
        <w:spacing w:line="520" w:lineRule="exact"/>
        <w:ind w:left="0" w:firstLine="640" w:firstLineChars="200"/>
        <w:textAlignment w:val="auto"/>
        <w:rPr>
          <w:rFonts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湖南省住房和城乡建设厅《关于执行&lt;建设工程工程量清单计价标准&gt;及配套工程量计算标准的通知》（湘建科函〔</w:t>
      </w:r>
      <w:r>
        <w:rPr>
          <w:rFonts w:ascii="仿宋_GB2312" w:hAnsi="仿宋_GB2312" w:cs="仿宋_GB2312"/>
          <w:sz w:val="32"/>
          <w:szCs w:val="32"/>
        </w:rPr>
        <w:t>2025</w:t>
      </w:r>
      <w:r>
        <w:rPr>
          <w:rFonts w:hint="eastAsia" w:ascii="仿宋_GB2312" w:hAnsi="仿宋_GB2312" w:cs="仿宋_GB2312"/>
          <w:sz w:val="32"/>
          <w:szCs w:val="32"/>
        </w:rPr>
        <w:t>〕</w:t>
      </w:r>
      <w:r>
        <w:rPr>
          <w:rFonts w:ascii="仿宋_GB2312" w:hAnsi="仿宋_GB2312" w:cs="仿宋_GB2312"/>
          <w:sz w:val="32"/>
          <w:szCs w:val="32"/>
        </w:rPr>
        <w:t>15</w:t>
      </w:r>
      <w:r>
        <w:rPr>
          <w:rFonts w:hint="eastAsia" w:ascii="仿宋_GB2312" w:hAnsi="仿宋_GB2312" w:cs="仿宋_GB2312"/>
          <w:sz w:val="32"/>
          <w:szCs w:val="32"/>
        </w:rPr>
        <w:t>0号）。</w:t>
      </w:r>
    </w:p>
    <w:p w14:paraId="5ACC5865">
      <w:pPr>
        <w:pStyle w:val="3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topLinePunct w:val="0"/>
        <w:autoSpaceDE/>
        <w:autoSpaceDN/>
        <w:bidi w:val="0"/>
        <w:adjustRightInd/>
        <w:snapToGrid/>
        <w:spacing w:line="520" w:lineRule="exact"/>
        <w:ind w:left="0" w:firstLine="640" w:firstLineChars="200"/>
        <w:textAlignment w:val="auto"/>
        <w:rPr>
          <w:rFonts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湖南省住房和城乡建设厅《关于发布</w:t>
      </w:r>
      <w:r>
        <w:rPr>
          <w:rFonts w:ascii="仿宋_GB2312" w:hAnsi="仿宋_GB2312" w:cs="仿宋_GB2312"/>
          <w:sz w:val="32"/>
          <w:szCs w:val="32"/>
        </w:rPr>
        <w:t>2025</w:t>
      </w:r>
      <w:r>
        <w:rPr>
          <w:rFonts w:hint="eastAsia" w:ascii="仿宋_GB2312" w:hAnsi="仿宋_GB2312" w:cs="仿宋_GB2312"/>
          <w:sz w:val="32"/>
          <w:szCs w:val="32"/>
        </w:rPr>
        <w:t>&lt;湖南省建设工程消耗量标准&gt;的通知》（湘建科函〔</w:t>
      </w:r>
      <w:r>
        <w:rPr>
          <w:rFonts w:ascii="仿宋_GB2312" w:hAnsi="仿宋_GB2312" w:cs="仿宋_GB2312"/>
          <w:sz w:val="32"/>
          <w:szCs w:val="32"/>
        </w:rPr>
        <w:t>2025</w:t>
      </w:r>
      <w:r>
        <w:rPr>
          <w:rFonts w:hint="eastAsia" w:ascii="仿宋_GB2312" w:hAnsi="仿宋_GB2312" w:cs="仿宋_GB2312"/>
          <w:sz w:val="32"/>
          <w:szCs w:val="32"/>
        </w:rPr>
        <w:t>〕</w:t>
      </w:r>
      <w:r>
        <w:rPr>
          <w:rFonts w:ascii="仿宋_GB2312" w:hAnsi="仿宋_GB2312" w:cs="仿宋_GB2312"/>
          <w:sz w:val="32"/>
          <w:szCs w:val="32"/>
        </w:rPr>
        <w:t>151</w:t>
      </w:r>
      <w:r>
        <w:rPr>
          <w:rFonts w:hint="eastAsia" w:ascii="仿宋_GB2312" w:hAnsi="仿宋_GB2312" w:cs="仿宋_GB2312"/>
          <w:sz w:val="32"/>
          <w:szCs w:val="32"/>
        </w:rPr>
        <w:t>号）</w:t>
      </w:r>
      <w:r>
        <w:rPr>
          <w:rFonts w:hint="eastAsia" w:ascii="仿宋_GB2312" w:hAnsi="仿宋_GB2312" w:cs="仿宋_GB2312"/>
          <w:color w:val="000000"/>
          <w:sz w:val="32"/>
          <w:szCs w:val="32"/>
        </w:rPr>
        <w:t>。</w:t>
      </w:r>
    </w:p>
    <w:p w14:paraId="79AC912A">
      <w:pPr>
        <w:pStyle w:val="3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topLinePunct w:val="0"/>
        <w:autoSpaceDE/>
        <w:autoSpaceDN/>
        <w:bidi w:val="0"/>
        <w:adjustRightInd/>
        <w:snapToGrid/>
        <w:spacing w:line="520" w:lineRule="exact"/>
        <w:ind w:left="0" w:firstLine="640" w:firstLineChars="200"/>
        <w:textAlignment w:val="auto"/>
        <w:rPr>
          <w:rFonts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color w:val="000000"/>
          <w:sz w:val="32"/>
          <w:szCs w:val="32"/>
          <w:lang w:val="en-US" w:eastAsia="zh-CN"/>
        </w:rPr>
        <w:t>湖南省建设工程造价管理总站</w:t>
      </w:r>
      <w:r>
        <w:rPr>
          <w:rFonts w:hint="eastAsia" w:ascii="仿宋_GB2312" w:hAnsi="仿宋_GB2312" w:cs="仿宋_GB2312"/>
          <w:color w:val="000000"/>
          <w:sz w:val="32"/>
          <w:szCs w:val="32"/>
        </w:rPr>
        <w:t>《关于</w:t>
      </w:r>
      <w:r>
        <w:rPr>
          <w:rFonts w:hint="eastAsia" w:ascii="仿宋_GB2312" w:hAnsi="仿宋_GB2312" w:cs="仿宋_GB2312"/>
          <w:color w:val="000000"/>
          <w:sz w:val="32"/>
          <w:szCs w:val="32"/>
          <w:lang w:val="en-US" w:eastAsia="zh-CN"/>
        </w:rPr>
        <w:t>发布2024年湖南省建设工程人工费指数的通知</w:t>
      </w:r>
      <w:r>
        <w:rPr>
          <w:rFonts w:hint="eastAsia" w:ascii="仿宋_GB2312" w:hAnsi="仿宋_GB2312" w:cs="仿宋_GB2312"/>
          <w:color w:val="000000"/>
          <w:sz w:val="32"/>
          <w:szCs w:val="32"/>
        </w:rPr>
        <w:t>》（</w:t>
      </w:r>
      <w:r>
        <w:rPr>
          <w:rFonts w:hint="eastAsia" w:ascii="仿宋_GB2312" w:hAnsi="仿宋_GB2312" w:cs="仿宋_GB2312"/>
          <w:color w:val="000000"/>
          <w:sz w:val="32"/>
          <w:szCs w:val="32"/>
          <w:lang w:val="en-US" w:eastAsia="zh-CN"/>
        </w:rPr>
        <w:t>湘建价建</w:t>
      </w:r>
      <w:r>
        <w:rPr>
          <w:rFonts w:hint="eastAsia" w:ascii="仿宋_GB2312" w:hAnsi="仿宋_GB2312" w:cs="仿宋_GB2312"/>
          <w:color w:val="000000"/>
          <w:sz w:val="32"/>
          <w:szCs w:val="32"/>
        </w:rPr>
        <w:t>〔202</w:t>
      </w:r>
      <w:r>
        <w:rPr>
          <w:rFonts w:hint="eastAsia" w:ascii="仿宋_GB2312" w:hAnsi="仿宋_GB2312" w:cs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cs="仿宋_GB2312"/>
          <w:color w:val="000000"/>
          <w:sz w:val="32"/>
          <w:szCs w:val="32"/>
        </w:rPr>
        <w:t>〕</w:t>
      </w:r>
      <w:r>
        <w:rPr>
          <w:rFonts w:hint="eastAsia" w:ascii="仿宋_GB2312" w:hAnsi="仿宋_GB2312" w:cs="仿宋_GB2312"/>
          <w:color w:val="000000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cs="仿宋_GB2312"/>
          <w:color w:val="000000"/>
          <w:sz w:val="32"/>
          <w:szCs w:val="32"/>
        </w:rPr>
        <w:t>号）。</w:t>
      </w:r>
    </w:p>
    <w:p w14:paraId="73A70B88">
      <w:pPr>
        <w:pStyle w:val="3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topLinePunct w:val="0"/>
        <w:autoSpaceDE/>
        <w:autoSpaceDN/>
        <w:bidi w:val="0"/>
        <w:adjustRightInd/>
        <w:snapToGrid/>
        <w:spacing w:line="520" w:lineRule="exact"/>
        <w:ind w:left="0" w:firstLine="640" w:firstLineChars="200"/>
        <w:textAlignment w:val="auto"/>
        <w:outlineLvl w:val="1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常德市建设工程造价管理站《关于公布常德市二○二五年第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cs="仿宋_GB2312"/>
          <w:sz w:val="32"/>
          <w:szCs w:val="32"/>
        </w:rPr>
        <w:t>期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安装</w:t>
      </w:r>
      <w:r>
        <w:rPr>
          <w:rFonts w:hint="eastAsia" w:ascii="仿宋_GB2312" w:hAnsi="仿宋_GB2312" w:cs="仿宋_GB2312"/>
          <w:sz w:val="32"/>
          <w:szCs w:val="32"/>
        </w:rPr>
        <w:t>工程材料市场综合价的通知》（</w:t>
      </w:r>
      <w:r>
        <w:rPr>
          <w:rFonts w:hint="eastAsia" w:ascii="仿宋_GB2312"/>
          <w:sz w:val="32"/>
          <w:szCs w:val="32"/>
        </w:rPr>
        <w:t>常建价〔2025〕</w:t>
      </w:r>
      <w:r>
        <w:rPr>
          <w:rFonts w:hint="eastAsia" w:ascii="仿宋_GB2312"/>
          <w:sz w:val="32"/>
          <w:szCs w:val="32"/>
          <w:lang w:val="en-US" w:eastAsia="zh-CN"/>
        </w:rPr>
        <w:t>8</w:t>
      </w:r>
      <w:r>
        <w:rPr>
          <w:rFonts w:hint="eastAsia" w:ascii="仿宋_GB2312"/>
          <w:sz w:val="32"/>
          <w:szCs w:val="32"/>
        </w:rPr>
        <w:t>号</w:t>
      </w:r>
      <w:r>
        <w:rPr>
          <w:rFonts w:hint="eastAsia" w:ascii="仿宋_GB2312" w:hAnsi="仿宋_GB2312" w:cs="仿宋_GB2312"/>
          <w:sz w:val="32"/>
          <w:szCs w:val="32"/>
        </w:rPr>
        <w:t>）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。</w:t>
      </w:r>
    </w:p>
    <w:p w14:paraId="420D67A7">
      <w:pPr>
        <w:pStyle w:val="3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topLinePunct w:val="0"/>
        <w:autoSpaceDE/>
        <w:autoSpaceDN/>
        <w:bidi w:val="0"/>
        <w:adjustRightInd/>
        <w:snapToGrid/>
        <w:spacing w:line="520" w:lineRule="exact"/>
        <w:ind w:left="0" w:firstLine="640" w:firstLineChars="200"/>
        <w:textAlignment w:val="auto"/>
        <w:outlineLvl w:val="1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常德市建设工程造价管理站《关于公布常德市二○二五年第十期建设工程材料市场综合价的通知》（</w:t>
      </w:r>
      <w:r>
        <w:rPr>
          <w:rFonts w:hint="eastAsia" w:ascii="仿宋_GB2312"/>
          <w:sz w:val="32"/>
          <w:szCs w:val="32"/>
        </w:rPr>
        <w:t>常建价〔2025〕14号</w:t>
      </w:r>
      <w:r>
        <w:rPr>
          <w:rFonts w:hint="eastAsia" w:ascii="仿宋_GB2312" w:hAnsi="仿宋_GB2312" w:cs="仿宋_GB2312"/>
          <w:sz w:val="32"/>
          <w:szCs w:val="32"/>
        </w:rPr>
        <w:t>）及市场价格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。</w:t>
      </w:r>
    </w:p>
    <w:p w14:paraId="5B63A493">
      <w:pPr>
        <w:pStyle w:val="3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topLinePunct w:val="0"/>
        <w:autoSpaceDE/>
        <w:autoSpaceDN/>
        <w:bidi w:val="0"/>
        <w:adjustRightInd/>
        <w:snapToGrid/>
        <w:spacing w:line="520" w:lineRule="exact"/>
        <w:ind w:left="0" w:firstLine="640" w:firstLineChars="200"/>
        <w:textAlignment w:val="auto"/>
        <w:outlineLvl w:val="1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常德市财政局投资评审中心《市本级政府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性</w:t>
      </w:r>
      <w:r>
        <w:rPr>
          <w:rFonts w:hint="eastAsia" w:ascii="仿宋_GB2312" w:hAnsi="仿宋_GB2312" w:cs="仿宋_GB2312"/>
          <w:sz w:val="32"/>
          <w:szCs w:val="32"/>
        </w:rPr>
        <w:t>投资项目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审核（审计）</w:t>
      </w:r>
      <w:r>
        <w:rPr>
          <w:rFonts w:hint="eastAsia" w:ascii="仿宋_GB2312" w:hAnsi="仿宋_GB2312" w:cs="仿宋_GB2312"/>
          <w:sz w:val="32"/>
          <w:szCs w:val="32"/>
        </w:rPr>
        <w:t>标准操作规范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第一至第四期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修改及补充汇编版</w:t>
      </w:r>
      <w:r>
        <w:rPr>
          <w:rFonts w:hint="eastAsia" w:ascii="仿宋_GB2312" w:hAnsi="仿宋_GB2312" w:cs="仿宋_GB2312"/>
          <w:sz w:val="32"/>
          <w:szCs w:val="32"/>
        </w:rPr>
        <w:t>》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。</w:t>
      </w:r>
    </w:p>
    <w:p w14:paraId="37619B6A">
      <w:pPr>
        <w:pStyle w:val="3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topLinePunct w:val="0"/>
        <w:autoSpaceDE/>
        <w:autoSpaceDN/>
        <w:bidi w:val="0"/>
        <w:adjustRightInd/>
        <w:snapToGrid/>
        <w:spacing w:line="520" w:lineRule="exact"/>
        <w:ind w:left="0" w:firstLine="640" w:firstLineChars="200"/>
        <w:textAlignment w:val="auto"/>
        <w:outlineLvl w:val="2"/>
        <w:rPr>
          <w:rFonts w:ascii="仿宋_GB2312" w:hAnsi="仿宋_GB2312" w:cs="仿宋_GB2312"/>
          <w:sz w:val="32"/>
          <w:szCs w:val="32"/>
        </w:rPr>
      </w:pPr>
      <w:bookmarkStart w:id="20" w:name="_Toc863367060_WPSOffice_Level3"/>
      <w:r>
        <w:rPr>
          <w:rFonts w:hint="eastAsia" w:ascii="仿宋_GB2312" w:hAnsi="仿宋_GB2312" w:cs="仿宋_GB2312"/>
          <w:sz w:val="32"/>
          <w:szCs w:val="32"/>
        </w:rPr>
        <w:t>其他有关资料。</w:t>
      </w:r>
      <w:bookmarkEnd w:id="20"/>
    </w:p>
    <w:p w14:paraId="3D6A8256">
      <w:pPr>
        <w:pStyle w:val="14"/>
        <w:keepNext w:val="0"/>
        <w:keepLines w:val="0"/>
        <w:pageBreakBefore w:val="0"/>
        <w:widowControl w:val="0"/>
        <w:tabs>
          <w:tab w:val="left" w:pos="6266"/>
        </w:tabs>
        <w:kinsoku/>
        <w:wordWrap/>
        <w:topLinePunct w:val="0"/>
        <w:autoSpaceDE/>
        <w:autoSpaceDN/>
        <w:bidi w:val="0"/>
        <w:adjustRightInd/>
        <w:snapToGrid/>
        <w:spacing w:line="520" w:lineRule="exact"/>
        <w:ind w:left="0" w:firstLine="640" w:firstLineChars="200"/>
        <w:textAlignment w:val="auto"/>
        <w:outlineLvl w:val="0"/>
        <w:rPr>
          <w:rFonts w:ascii="黑体" w:hAnsi="黑体" w:eastAsia="黑体" w:cs="黑体"/>
          <w:color w:val="000000"/>
          <w:sz w:val="32"/>
          <w:szCs w:val="32"/>
        </w:rPr>
      </w:pPr>
      <w:bookmarkStart w:id="21" w:name="_Toc1699738589_WPSOffice_Level1"/>
      <w:bookmarkStart w:id="22" w:name="_Toc757239869_WPSOffice_Level1"/>
      <w:bookmarkStart w:id="23" w:name="_Toc1890271026_WPSOffice_Level1"/>
      <w:bookmarkStart w:id="24" w:name="_Toc913869554_WPSOffice_Level1"/>
      <w:r>
        <w:rPr>
          <w:rFonts w:hint="eastAsia" w:ascii="黑体" w:hAnsi="黑体" w:eastAsia="黑体" w:cs="黑体"/>
          <w:color w:val="000000"/>
          <w:sz w:val="32"/>
          <w:szCs w:val="32"/>
        </w:rPr>
        <w:t>三、评审结论</w:t>
      </w:r>
      <w:bookmarkEnd w:id="21"/>
      <w:bookmarkEnd w:id="22"/>
      <w:bookmarkEnd w:id="23"/>
      <w:bookmarkEnd w:id="24"/>
    </w:p>
    <w:p w14:paraId="4DEA2648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20" w:lineRule="exact"/>
        <w:ind w:left="0" w:firstLine="640" w:firstLineChars="200"/>
        <w:textAlignment w:val="auto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该工程施工图预算送审金额为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244649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元，审定金额为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186311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元，审减金额为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58338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元。其中：工程费审减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56775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元，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设计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费审减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元，不可预见费审减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938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元。审减主要原因如下：</w:t>
      </w:r>
    </w:p>
    <w:p w14:paraId="51F61E36">
      <w:pPr>
        <w:pStyle w:val="35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topLinePunct w:val="0"/>
        <w:autoSpaceDE/>
        <w:autoSpaceDN/>
        <w:bidi w:val="0"/>
        <w:adjustRightInd/>
        <w:snapToGrid/>
        <w:spacing w:line="520" w:lineRule="exact"/>
        <w:ind w:left="0" w:firstLine="640" w:firstLineChars="200"/>
        <w:textAlignment w:val="auto"/>
        <w:rPr>
          <w:rFonts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color w:val="000000"/>
          <w:sz w:val="32"/>
          <w:szCs w:val="32"/>
        </w:rPr>
        <w:t>送审预算未套用现行2025定额。</w:t>
      </w:r>
    </w:p>
    <w:p w14:paraId="053A573F">
      <w:pPr>
        <w:pStyle w:val="35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topLinePunct w:val="0"/>
        <w:autoSpaceDE/>
        <w:autoSpaceDN/>
        <w:bidi w:val="0"/>
        <w:adjustRightInd/>
        <w:snapToGrid/>
        <w:spacing w:line="520" w:lineRule="exact"/>
        <w:ind w:left="0" w:firstLine="640" w:firstLineChars="200"/>
        <w:textAlignment w:val="auto"/>
        <w:rPr>
          <w:rFonts w:ascii="仿宋_GB2312" w:hAnsi="仿宋_GB2312" w:cs="仿宋_GB2312"/>
          <w:color w:val="000000"/>
          <w:sz w:val="32"/>
          <w:szCs w:val="32"/>
        </w:rPr>
      </w:pPr>
      <w:bookmarkStart w:id="25" w:name="_Toc308870453_WPSOffice_Level1"/>
      <w:bookmarkStart w:id="26" w:name="_Toc1156470918_WPSOffice_Level1"/>
      <w:bookmarkStart w:id="27" w:name="_Toc545252939_WPSOffice_Level1"/>
      <w:bookmarkStart w:id="28" w:name="_Toc1954155083_WPSOffice_Level1"/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非开挖拖管2*φ167mm</w:t>
      </w:r>
      <w:r>
        <w:rPr>
          <w:rFonts w:hint="eastAsia" w:ascii="仿宋_GB2312" w:hAnsi="仿宋_GB2312" w:cs="仿宋_GB2312"/>
          <w:color w:val="000000"/>
          <w:sz w:val="32"/>
          <w:szCs w:val="32"/>
          <w:lang w:val="en-US" w:eastAsia="zh-CN"/>
        </w:rPr>
        <w:t>价格偏高</w:t>
      </w:r>
      <w:r>
        <w:rPr>
          <w:rFonts w:hint="eastAsia" w:ascii="仿宋_GB2312" w:hAnsi="仿宋_GB2312" w:cs="仿宋_GB2312"/>
          <w:color w:val="000000"/>
          <w:sz w:val="32"/>
          <w:szCs w:val="32"/>
        </w:rPr>
        <w:t>。</w:t>
      </w:r>
    </w:p>
    <w:p w14:paraId="0CA2B774">
      <w:pPr>
        <w:pStyle w:val="35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topLinePunct w:val="0"/>
        <w:autoSpaceDE/>
        <w:autoSpaceDN/>
        <w:bidi w:val="0"/>
        <w:adjustRightInd/>
        <w:snapToGrid/>
        <w:spacing w:line="520" w:lineRule="exact"/>
        <w:ind w:left="0" w:firstLine="640" w:firstLineChars="200"/>
        <w:textAlignment w:val="auto"/>
        <w:rPr>
          <w:rFonts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color w:val="000000"/>
          <w:sz w:val="32"/>
          <w:szCs w:val="32"/>
          <w:lang w:val="en-US" w:eastAsia="zh-CN"/>
        </w:rPr>
        <w:t>横担、金具等价格偏高。</w:t>
      </w:r>
    </w:p>
    <w:p w14:paraId="1ED808BC">
      <w:pPr>
        <w:pStyle w:val="35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topLinePunct w:val="0"/>
        <w:autoSpaceDE/>
        <w:autoSpaceDN/>
        <w:bidi w:val="0"/>
        <w:adjustRightInd/>
        <w:snapToGrid/>
        <w:spacing w:line="520" w:lineRule="exact"/>
        <w:ind w:left="0" w:firstLine="640" w:firstLineChars="200"/>
        <w:textAlignment w:val="auto"/>
        <w:rPr>
          <w:rFonts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color w:val="000000"/>
          <w:sz w:val="32"/>
          <w:szCs w:val="32"/>
        </w:rPr>
        <w:t>带电车搭头、解头</w:t>
      </w:r>
      <w:r>
        <w:rPr>
          <w:rFonts w:hint="eastAsia" w:ascii="仿宋_GB2312" w:hAnsi="仿宋_GB2312" w:cs="仿宋_GB2312"/>
          <w:color w:val="000000"/>
          <w:sz w:val="32"/>
          <w:szCs w:val="32"/>
          <w:lang w:val="en-US" w:eastAsia="zh-CN"/>
        </w:rPr>
        <w:t>工程量多计、价格偏高</w:t>
      </w:r>
      <w:r>
        <w:rPr>
          <w:rFonts w:hint="eastAsia" w:ascii="仿宋_GB2312" w:hAnsi="仿宋_GB2312" w:cs="仿宋_GB2312"/>
          <w:color w:val="000000"/>
          <w:sz w:val="32"/>
          <w:szCs w:val="32"/>
        </w:rPr>
        <w:t>。</w:t>
      </w:r>
    </w:p>
    <w:bookmarkEnd w:id="25"/>
    <w:bookmarkEnd w:id="26"/>
    <w:bookmarkEnd w:id="27"/>
    <w:bookmarkEnd w:id="28"/>
    <w:p w14:paraId="46A61DA9">
      <w:pPr>
        <w:pStyle w:val="14"/>
        <w:keepNext w:val="0"/>
        <w:keepLines w:val="0"/>
        <w:pageBreakBefore w:val="0"/>
        <w:widowControl w:val="0"/>
        <w:tabs>
          <w:tab w:val="left" w:pos="6266"/>
        </w:tabs>
        <w:kinsoku/>
        <w:wordWrap/>
        <w:topLinePunct w:val="0"/>
        <w:autoSpaceDE/>
        <w:autoSpaceDN/>
        <w:bidi w:val="0"/>
        <w:adjustRightInd/>
        <w:snapToGrid/>
        <w:spacing w:line="520" w:lineRule="exact"/>
        <w:ind w:left="0" w:firstLine="640" w:firstLineChars="200"/>
        <w:textAlignment w:val="auto"/>
        <w:outlineLvl w:val="0"/>
        <w:rPr>
          <w:rFonts w:ascii="黑体" w:hAnsi="黑体" w:eastAsia="黑体" w:cs="黑体"/>
          <w:color w:val="000000"/>
          <w:sz w:val="32"/>
          <w:szCs w:val="32"/>
        </w:rPr>
      </w:pPr>
      <w:bookmarkStart w:id="29" w:name="_Toc669635750_WPSOffice_Level1"/>
      <w:bookmarkStart w:id="30" w:name="_Toc340961487_WPSOffice_Level1"/>
      <w:bookmarkStart w:id="31" w:name="_Toc391484743_WPSOffice_Level1"/>
      <w:bookmarkStart w:id="32" w:name="_Toc1244274959_WPSOffice_Level1"/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、有关事项说明</w:t>
      </w:r>
      <w:bookmarkEnd w:id="29"/>
      <w:bookmarkEnd w:id="30"/>
      <w:bookmarkEnd w:id="31"/>
      <w:bookmarkEnd w:id="32"/>
    </w:p>
    <w:p w14:paraId="6B0C538E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20" w:lineRule="exact"/>
        <w:ind w:left="0"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 xml:space="preserve">.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迁改工程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调整芙蓉北路（筑基路-太阳大道）项目可行性研究报告批复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中的资金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额度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24.6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万元。报送预算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依据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为2022年11月常德市城区地下管网设施建设管理办公室（以下简称管网办）备案图纸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，项目单位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现场踏勘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优化方案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报管网办同意后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重新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报送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预算，对调整后预算进行评审并出具评审报告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</w:t>
      </w:r>
    </w:p>
    <w:p w14:paraId="1FEC95B4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20" w:lineRule="exact"/>
        <w:ind w:left="0" w:firstLine="640" w:firstLineChars="200"/>
        <w:textAlignment w:val="auto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本</w:t>
      </w:r>
      <w:r>
        <w:rPr>
          <w:rFonts w:hint="eastAsia" w:ascii="Times New Roman" w:hAnsi="Times New Roman" w:eastAsia="仿宋_GB2312"/>
          <w:sz w:val="32"/>
          <w:szCs w:val="32"/>
        </w:rPr>
        <w:t>评审结果是该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迁改工程</w:t>
      </w:r>
      <w:r>
        <w:rPr>
          <w:rFonts w:hint="eastAsia" w:ascii="Times New Roman" w:hAnsi="Times New Roman" w:eastAsia="仿宋_GB2312"/>
          <w:sz w:val="32"/>
          <w:szCs w:val="32"/>
        </w:rPr>
        <w:t>财政预算控制上限，作为预算执行的重要依据，</w:t>
      </w:r>
      <w:r>
        <w:rPr>
          <w:rFonts w:hint="eastAsia" w:ascii="仿宋_GB2312" w:hAnsi="仿宋_GB2312" w:eastAsia="仿宋_GB2312" w:cs="仿宋_GB2312"/>
          <w:sz w:val="32"/>
          <w:szCs w:val="32"/>
        </w:rPr>
        <w:t>不作为招投标、政府采购、结算和决算的依据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。请</w:t>
      </w:r>
      <w:r>
        <w:rPr>
          <w:rFonts w:hint="eastAsia" w:ascii="Times New Roman" w:hAnsi="Times New Roman" w:eastAsia="仿宋_GB2312"/>
          <w:sz w:val="32"/>
          <w:szCs w:val="32"/>
        </w:rPr>
        <w:t>根据预算执行评审结果调整预算安排并指导相关部门严控预算执行，督促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项目单位严格遵守各项法律法规、财经纪律和财务管理制度。资金管理科室对预算评审类型和报告使用负责。</w:t>
      </w:r>
    </w:p>
    <w:p w14:paraId="5998D4F4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2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 预算控制上限依据项目单位提供的设计图纸、施工方案，参照相关法律法规、行业规范标准及市场询价结果出具。若因送审资料完整性不足、准确性欠缺等情形导致的偏差，相关责任由项目单位自行承担。</w:t>
      </w:r>
    </w:p>
    <w:p w14:paraId="4A607BAF"/>
    <w:p w14:paraId="22C7945A">
      <w:pPr>
        <w:overflowPunct w:val="0"/>
        <w:ind w:firstLine="640" w:firstLineChars="200"/>
        <w:jc w:val="righ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常德市财政局投资评审中心</w:t>
      </w:r>
    </w:p>
    <w:p w14:paraId="68940771">
      <w:pPr>
        <w:pStyle w:val="2"/>
        <w:wordWrap w:val="0"/>
        <w:spacing w:line="600" w:lineRule="exact"/>
        <w:ind w:left="5460" w:right="332" w:hanging="73"/>
        <w:jc w:val="righ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2025年12月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</w:t>
      </w:r>
    </w:p>
    <w:p w14:paraId="3906A757"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附表</w:t>
      </w:r>
    </w:p>
    <w:tbl>
      <w:tblPr>
        <w:tblStyle w:val="20"/>
        <w:tblW w:w="885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2020"/>
        <w:gridCol w:w="1465"/>
        <w:gridCol w:w="1465"/>
        <w:gridCol w:w="1265"/>
        <w:gridCol w:w="200"/>
        <w:gridCol w:w="1714"/>
      </w:tblGrid>
      <w:tr w14:paraId="6F10D5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8853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E4692C5">
            <w:pPr>
              <w:pStyle w:val="12"/>
              <w:spacing w:line="600" w:lineRule="exact"/>
              <w:jc w:val="center"/>
              <w:outlineLvl w:val="0"/>
              <w:rPr>
                <w:rFonts w:hint="eastAsia" w:ascii="宋体" w:hAnsi="宋体" w:eastAsia="宋体" w:cs="宋体"/>
                <w:b w:val="0"/>
                <w:bCs w:val="0"/>
                <w:color w:val="000000"/>
                <w:sz w:val="4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44"/>
                <w:lang w:val="en-US" w:eastAsia="zh-CN"/>
              </w:rPr>
              <w:t>芙蓉北路（筑基路-太阳大道）电力迁改</w:t>
            </w:r>
          </w:p>
          <w:p w14:paraId="7B6EE78A">
            <w:pPr>
              <w:pStyle w:val="12"/>
              <w:spacing w:line="600" w:lineRule="exact"/>
              <w:jc w:val="center"/>
              <w:outlineLvl w:val="0"/>
              <w:rPr>
                <w:rFonts w:ascii="宋体" w:hAnsi="宋体" w:cs="宋体"/>
                <w:kern w:val="0"/>
                <w:sz w:val="44"/>
                <w:szCs w:val="4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44"/>
                <w:lang w:eastAsia="zh-CN"/>
              </w:rPr>
              <w:t>预算执行评审汇总表</w:t>
            </w:r>
          </w:p>
        </w:tc>
      </w:tr>
      <w:tr w14:paraId="255D68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693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53DC2F8">
            <w:pPr>
              <w:jc w:val="left"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00D0E">
            <w:pPr>
              <w:widowControl/>
              <w:jc w:val="right"/>
              <w:rPr>
                <w:rFonts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金额单位：元</w:t>
            </w:r>
          </w:p>
        </w:tc>
      </w:tr>
      <w:tr w14:paraId="42B59A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F7C9D4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FB2D3C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评审内容</w:t>
            </w: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3153A3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送审金额</w:t>
            </w: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5D13C0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审定金额</w:t>
            </w:r>
          </w:p>
        </w:tc>
        <w:tc>
          <w:tcPr>
            <w:tcW w:w="14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7C4C43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审减金额</w:t>
            </w:r>
          </w:p>
        </w:tc>
        <w:tc>
          <w:tcPr>
            <w:tcW w:w="1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7E4916"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备  注</w:t>
            </w:r>
          </w:p>
        </w:tc>
      </w:tr>
      <w:tr w14:paraId="76F505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CCC90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一</w:t>
            </w:r>
          </w:p>
        </w:tc>
        <w:tc>
          <w:tcPr>
            <w:tcW w:w="2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B3B1F0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工程费</w:t>
            </w:r>
          </w:p>
        </w:tc>
        <w:tc>
          <w:tcPr>
            <w:tcW w:w="146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BF62DCE">
            <w:pPr>
              <w:widowControl/>
              <w:jc w:val="center"/>
              <w:rPr>
                <w:rFonts w:ascii="仿宋_GB2312" w:hAnsi="等线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等线" w:eastAsia="仿宋_GB2312"/>
                <w:color w:val="000000"/>
                <w:sz w:val="24"/>
                <w:szCs w:val="24"/>
                <w:lang w:val="en-US" w:eastAsia="zh-CN"/>
              </w:rPr>
              <w:t>244649</w:t>
            </w:r>
            <w:r>
              <w:rPr>
                <w:rFonts w:hint="eastAsia" w:ascii="仿宋_GB2312" w:hAnsi="等线" w:eastAsia="仿宋_GB2312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4B7F0C">
            <w:pPr>
              <w:widowControl/>
              <w:jc w:val="center"/>
              <w:rPr>
                <w:rFonts w:ascii="仿宋_GB2312" w:hAnsi="等线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等线" w:eastAsia="仿宋_GB2312"/>
                <w:color w:val="000000"/>
                <w:sz w:val="24"/>
                <w:szCs w:val="24"/>
                <w:lang w:val="en-US" w:eastAsia="zh-CN"/>
              </w:rPr>
              <w:t>177439</w:t>
            </w:r>
            <w:r>
              <w:rPr>
                <w:rFonts w:hint="eastAsia" w:ascii="仿宋_GB2312" w:hAnsi="等线" w:eastAsia="仿宋_GB2312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65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A875D68">
            <w:pPr>
              <w:widowControl/>
              <w:jc w:val="center"/>
              <w:rPr>
                <w:rFonts w:ascii="仿宋_GB2312" w:hAnsi="等线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等线" w:eastAsia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等线" w:eastAsia="仿宋_GB2312"/>
                <w:color w:val="000000"/>
                <w:sz w:val="24"/>
                <w:szCs w:val="24"/>
                <w:lang w:val="en-US" w:eastAsia="zh-CN"/>
              </w:rPr>
              <w:t>58338</w:t>
            </w:r>
            <w:r>
              <w:rPr>
                <w:rFonts w:hint="eastAsia" w:ascii="仿宋_GB2312" w:hAnsi="等线" w:eastAsia="仿宋_GB2312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7CB492"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035112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06CBB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二</w:t>
            </w:r>
          </w:p>
        </w:tc>
        <w:tc>
          <w:tcPr>
            <w:tcW w:w="2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E7AD92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设计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费</w:t>
            </w:r>
          </w:p>
        </w:tc>
        <w:tc>
          <w:tcPr>
            <w:tcW w:w="146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39CC660D">
            <w:pPr>
              <w:widowControl/>
              <w:jc w:val="center"/>
              <w:rPr>
                <w:rFonts w:ascii="仿宋_GB2312" w:hAnsi="等线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F5F374">
            <w:pPr>
              <w:widowControl/>
              <w:jc w:val="center"/>
              <w:rPr>
                <w:rFonts w:hint="default" w:ascii="仿宋_GB2312" w:hAnsi="等线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等线" w:eastAsia="仿宋_GB2312"/>
                <w:color w:val="000000"/>
                <w:sz w:val="24"/>
                <w:szCs w:val="24"/>
                <w:lang w:val="en-US" w:eastAsia="zh-CN"/>
              </w:rPr>
              <w:t>3549</w:t>
            </w:r>
          </w:p>
        </w:tc>
        <w:tc>
          <w:tcPr>
            <w:tcW w:w="1465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51A4E672">
            <w:pPr>
              <w:widowControl/>
              <w:jc w:val="center"/>
              <w:rPr>
                <w:rFonts w:ascii="仿宋_GB2312" w:hAnsi="等线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7DE5AB"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0A962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DF39D1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三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45E434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不可预见费</w:t>
            </w:r>
          </w:p>
        </w:tc>
        <w:tc>
          <w:tcPr>
            <w:tcW w:w="146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165FE1">
            <w:pPr>
              <w:widowControl/>
              <w:jc w:val="center"/>
              <w:rPr>
                <w:rFonts w:ascii="仿宋_GB2312" w:hAnsi="等线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3045B9">
            <w:pPr>
              <w:widowControl/>
              <w:jc w:val="center"/>
              <w:rPr>
                <w:rFonts w:ascii="仿宋_GB2312" w:hAnsi="等线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等线" w:eastAsia="仿宋_GB2312"/>
                <w:color w:val="000000"/>
                <w:sz w:val="24"/>
                <w:szCs w:val="24"/>
                <w:lang w:val="en-US" w:eastAsia="zh-CN"/>
              </w:rPr>
              <w:t>5323</w:t>
            </w:r>
            <w:r>
              <w:rPr>
                <w:rFonts w:hint="eastAsia" w:ascii="仿宋_GB2312" w:hAnsi="等线" w:eastAsia="仿宋_GB2312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65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6C869D">
            <w:pPr>
              <w:widowControl/>
              <w:jc w:val="center"/>
              <w:rPr>
                <w:rFonts w:ascii="仿宋_GB2312" w:hAnsi="等线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C7569C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等线" w:eastAsia="仿宋_GB2312"/>
                <w:color w:val="000000"/>
                <w:sz w:val="24"/>
                <w:szCs w:val="24"/>
              </w:rPr>
              <w:t>工程费的3%</w:t>
            </w:r>
          </w:p>
        </w:tc>
      </w:tr>
      <w:tr w14:paraId="02EC30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A1D59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301163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合  计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9562D4">
            <w:pPr>
              <w:widowControl/>
              <w:jc w:val="center"/>
              <w:rPr>
                <w:rFonts w:ascii="仿宋_GB2312" w:hAnsi="等线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等线" w:eastAsia="仿宋_GB2312"/>
                <w:color w:val="000000"/>
                <w:sz w:val="24"/>
                <w:szCs w:val="24"/>
                <w:lang w:val="en-US" w:eastAsia="zh-CN"/>
              </w:rPr>
              <w:t>244649</w:t>
            </w:r>
            <w:r>
              <w:rPr>
                <w:rFonts w:hint="eastAsia" w:ascii="仿宋_GB2312" w:hAnsi="等线" w:eastAsia="仿宋_GB2312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549E2D">
            <w:pPr>
              <w:widowControl/>
              <w:jc w:val="center"/>
              <w:rPr>
                <w:rFonts w:ascii="仿宋_GB2312" w:hAnsi="等线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等线" w:eastAsia="仿宋_GB2312"/>
                <w:color w:val="000000"/>
                <w:sz w:val="24"/>
                <w:szCs w:val="24"/>
                <w:lang w:val="en-US" w:eastAsia="zh-CN"/>
              </w:rPr>
              <w:t>186311</w:t>
            </w:r>
            <w:r>
              <w:rPr>
                <w:rFonts w:hint="eastAsia" w:ascii="仿宋_GB2312" w:hAnsi="等线" w:eastAsia="仿宋_GB2312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77D1E8">
            <w:pPr>
              <w:widowControl/>
              <w:jc w:val="center"/>
              <w:rPr>
                <w:rFonts w:ascii="仿宋_GB2312" w:hAnsi="等线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等线" w:eastAsia="仿宋_GB2312"/>
                <w:color w:val="000000"/>
                <w:sz w:val="24"/>
                <w:szCs w:val="24"/>
                <w:lang w:val="en-US" w:eastAsia="zh-CN"/>
              </w:rPr>
              <w:t>58338</w:t>
            </w:r>
            <w:r>
              <w:rPr>
                <w:rFonts w:hint="eastAsia" w:ascii="仿宋_GB2312" w:hAnsi="等线" w:eastAsia="仿宋_GB2312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E04941"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等线" w:eastAsia="仿宋_GB2312"/>
                <w:color w:val="000000"/>
                <w:sz w:val="24"/>
                <w:szCs w:val="24"/>
              </w:rPr>
              <w:t>审减率</w:t>
            </w:r>
            <w:r>
              <w:rPr>
                <w:rFonts w:hint="eastAsia" w:ascii="仿宋_GB2312" w:hAnsi="等线" w:eastAsia="仿宋_GB2312"/>
                <w:color w:val="000000"/>
                <w:sz w:val="24"/>
                <w:szCs w:val="24"/>
                <w:lang w:val="en-US" w:eastAsia="zh-CN"/>
              </w:rPr>
              <w:t>23.85</w:t>
            </w:r>
            <w:r>
              <w:rPr>
                <w:rFonts w:hint="eastAsia" w:ascii="仿宋_GB2312" w:hAnsi="等线" w:eastAsia="仿宋_GB2312"/>
                <w:color w:val="000000"/>
                <w:sz w:val="24"/>
                <w:szCs w:val="24"/>
              </w:rPr>
              <w:t>%</w:t>
            </w:r>
          </w:p>
        </w:tc>
      </w:tr>
    </w:tbl>
    <w:p w14:paraId="5AD2066B"/>
    <w:sectPr>
      <w:pgSz w:w="11906" w:h="16838"/>
      <w:pgMar w:top="2154" w:right="1531" w:bottom="1440" w:left="1531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2232F0"/>
    <w:multiLevelType w:val="multilevel"/>
    <w:tmpl w:val="012232F0"/>
    <w:lvl w:ilvl="0" w:tentative="0">
      <w:start w:val="1"/>
      <w:numFmt w:val="decimal"/>
      <w:suff w:val="space"/>
      <w:lvlText w:val="%1."/>
      <w:lvlJc w:val="left"/>
      <w:pPr>
        <w:ind w:left="1080" w:hanging="44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520" w:hanging="440"/>
      </w:pPr>
    </w:lvl>
    <w:lvl w:ilvl="2" w:tentative="0">
      <w:start w:val="1"/>
      <w:numFmt w:val="lowerRoman"/>
      <w:lvlText w:val="%3."/>
      <w:lvlJc w:val="right"/>
      <w:pPr>
        <w:ind w:left="1960" w:hanging="440"/>
      </w:pPr>
    </w:lvl>
    <w:lvl w:ilvl="3" w:tentative="0">
      <w:start w:val="1"/>
      <w:numFmt w:val="decimal"/>
      <w:lvlText w:val="%4."/>
      <w:lvlJc w:val="left"/>
      <w:pPr>
        <w:ind w:left="2400" w:hanging="440"/>
      </w:pPr>
    </w:lvl>
    <w:lvl w:ilvl="4" w:tentative="0">
      <w:start w:val="1"/>
      <w:numFmt w:val="lowerLetter"/>
      <w:lvlText w:val="%5)"/>
      <w:lvlJc w:val="left"/>
      <w:pPr>
        <w:ind w:left="2840" w:hanging="440"/>
      </w:pPr>
    </w:lvl>
    <w:lvl w:ilvl="5" w:tentative="0">
      <w:start w:val="1"/>
      <w:numFmt w:val="lowerRoman"/>
      <w:lvlText w:val="%6."/>
      <w:lvlJc w:val="right"/>
      <w:pPr>
        <w:ind w:left="3280" w:hanging="440"/>
      </w:pPr>
    </w:lvl>
    <w:lvl w:ilvl="6" w:tentative="0">
      <w:start w:val="1"/>
      <w:numFmt w:val="decimal"/>
      <w:lvlText w:val="%7."/>
      <w:lvlJc w:val="left"/>
      <w:pPr>
        <w:ind w:left="3720" w:hanging="440"/>
      </w:pPr>
    </w:lvl>
    <w:lvl w:ilvl="7" w:tentative="0">
      <w:start w:val="1"/>
      <w:numFmt w:val="lowerLetter"/>
      <w:lvlText w:val="%8)"/>
      <w:lvlJc w:val="left"/>
      <w:pPr>
        <w:ind w:left="4160" w:hanging="440"/>
      </w:pPr>
    </w:lvl>
    <w:lvl w:ilvl="8" w:tentative="0">
      <w:start w:val="1"/>
      <w:numFmt w:val="lowerRoman"/>
      <w:lvlText w:val="%9."/>
      <w:lvlJc w:val="right"/>
      <w:pPr>
        <w:ind w:left="4600" w:hanging="440"/>
      </w:pPr>
    </w:lvl>
  </w:abstractNum>
  <w:abstractNum w:abstractNumId="1">
    <w:nsid w:val="02FB757A"/>
    <w:multiLevelType w:val="multilevel"/>
    <w:tmpl w:val="02FB757A"/>
    <w:lvl w:ilvl="0" w:tentative="0">
      <w:start w:val="1"/>
      <w:numFmt w:val="decimal"/>
      <w:suff w:val="space"/>
      <w:lvlText w:val="%1."/>
      <w:lvlJc w:val="left"/>
      <w:pPr>
        <w:ind w:left="1080" w:hanging="44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520" w:hanging="440"/>
      </w:pPr>
    </w:lvl>
    <w:lvl w:ilvl="2" w:tentative="0">
      <w:start w:val="1"/>
      <w:numFmt w:val="lowerRoman"/>
      <w:lvlText w:val="%3."/>
      <w:lvlJc w:val="right"/>
      <w:pPr>
        <w:ind w:left="1960" w:hanging="440"/>
      </w:pPr>
    </w:lvl>
    <w:lvl w:ilvl="3" w:tentative="0">
      <w:start w:val="1"/>
      <w:numFmt w:val="decimal"/>
      <w:lvlText w:val="%4."/>
      <w:lvlJc w:val="left"/>
      <w:pPr>
        <w:ind w:left="2400" w:hanging="440"/>
      </w:pPr>
    </w:lvl>
    <w:lvl w:ilvl="4" w:tentative="0">
      <w:start w:val="1"/>
      <w:numFmt w:val="lowerLetter"/>
      <w:lvlText w:val="%5)"/>
      <w:lvlJc w:val="left"/>
      <w:pPr>
        <w:ind w:left="2840" w:hanging="440"/>
      </w:pPr>
    </w:lvl>
    <w:lvl w:ilvl="5" w:tentative="0">
      <w:start w:val="1"/>
      <w:numFmt w:val="lowerRoman"/>
      <w:lvlText w:val="%6."/>
      <w:lvlJc w:val="right"/>
      <w:pPr>
        <w:ind w:left="3280" w:hanging="440"/>
      </w:pPr>
    </w:lvl>
    <w:lvl w:ilvl="6" w:tentative="0">
      <w:start w:val="1"/>
      <w:numFmt w:val="decimal"/>
      <w:lvlText w:val="%7."/>
      <w:lvlJc w:val="left"/>
      <w:pPr>
        <w:ind w:left="3720" w:hanging="440"/>
      </w:pPr>
    </w:lvl>
    <w:lvl w:ilvl="7" w:tentative="0">
      <w:start w:val="1"/>
      <w:numFmt w:val="lowerLetter"/>
      <w:lvlText w:val="%8)"/>
      <w:lvlJc w:val="left"/>
      <w:pPr>
        <w:ind w:left="4160" w:hanging="440"/>
      </w:pPr>
    </w:lvl>
    <w:lvl w:ilvl="8" w:tentative="0">
      <w:start w:val="1"/>
      <w:numFmt w:val="lowerRoman"/>
      <w:lvlText w:val="%9."/>
      <w:lvlJc w:val="right"/>
      <w:pPr>
        <w:ind w:left="4600" w:hanging="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C95"/>
    <w:rsid w:val="00000756"/>
    <w:rsid w:val="00085B23"/>
    <w:rsid w:val="001215E9"/>
    <w:rsid w:val="00124BA6"/>
    <w:rsid w:val="001479F8"/>
    <w:rsid w:val="0021362D"/>
    <w:rsid w:val="00224739"/>
    <w:rsid w:val="002550DA"/>
    <w:rsid w:val="002910E0"/>
    <w:rsid w:val="00293F9D"/>
    <w:rsid w:val="002A76CD"/>
    <w:rsid w:val="0030666D"/>
    <w:rsid w:val="003459A7"/>
    <w:rsid w:val="00355006"/>
    <w:rsid w:val="003B1247"/>
    <w:rsid w:val="003C1927"/>
    <w:rsid w:val="003E7F11"/>
    <w:rsid w:val="00441C6A"/>
    <w:rsid w:val="00484DFC"/>
    <w:rsid w:val="004A70E5"/>
    <w:rsid w:val="004B2325"/>
    <w:rsid w:val="004D08C3"/>
    <w:rsid w:val="00530125"/>
    <w:rsid w:val="00597761"/>
    <w:rsid w:val="005C25C6"/>
    <w:rsid w:val="005E03B0"/>
    <w:rsid w:val="00617840"/>
    <w:rsid w:val="006365E1"/>
    <w:rsid w:val="00643849"/>
    <w:rsid w:val="00684E64"/>
    <w:rsid w:val="006908F6"/>
    <w:rsid w:val="006F4ED8"/>
    <w:rsid w:val="007674DA"/>
    <w:rsid w:val="00783187"/>
    <w:rsid w:val="007977F1"/>
    <w:rsid w:val="00885C95"/>
    <w:rsid w:val="008949B8"/>
    <w:rsid w:val="008C6E6E"/>
    <w:rsid w:val="00957E17"/>
    <w:rsid w:val="009729BD"/>
    <w:rsid w:val="00983433"/>
    <w:rsid w:val="00987E15"/>
    <w:rsid w:val="009A5363"/>
    <w:rsid w:val="009D0076"/>
    <w:rsid w:val="009D294F"/>
    <w:rsid w:val="009E1678"/>
    <w:rsid w:val="009E3E4E"/>
    <w:rsid w:val="00A20CF8"/>
    <w:rsid w:val="00A83634"/>
    <w:rsid w:val="00AE318F"/>
    <w:rsid w:val="00B10D36"/>
    <w:rsid w:val="00B131C8"/>
    <w:rsid w:val="00B13E31"/>
    <w:rsid w:val="00B57111"/>
    <w:rsid w:val="00B93D71"/>
    <w:rsid w:val="00B97A21"/>
    <w:rsid w:val="00BB045A"/>
    <w:rsid w:val="00BD2724"/>
    <w:rsid w:val="00BF1B1B"/>
    <w:rsid w:val="00C160E8"/>
    <w:rsid w:val="00C3151B"/>
    <w:rsid w:val="00C363A1"/>
    <w:rsid w:val="00C60121"/>
    <w:rsid w:val="00C810E0"/>
    <w:rsid w:val="00C879BE"/>
    <w:rsid w:val="00CB2A73"/>
    <w:rsid w:val="00CC1F81"/>
    <w:rsid w:val="00D40239"/>
    <w:rsid w:val="00D45129"/>
    <w:rsid w:val="00D505AA"/>
    <w:rsid w:val="00D62C9B"/>
    <w:rsid w:val="00D83731"/>
    <w:rsid w:val="00DA4780"/>
    <w:rsid w:val="00DB1BF1"/>
    <w:rsid w:val="00DC5B31"/>
    <w:rsid w:val="00DD2057"/>
    <w:rsid w:val="00DE41FE"/>
    <w:rsid w:val="00E254A1"/>
    <w:rsid w:val="00ED1673"/>
    <w:rsid w:val="00F36E1D"/>
    <w:rsid w:val="00F67CB7"/>
    <w:rsid w:val="00F85FF3"/>
    <w:rsid w:val="00FE121F"/>
    <w:rsid w:val="00FE4C73"/>
    <w:rsid w:val="02866F56"/>
    <w:rsid w:val="04F7303E"/>
    <w:rsid w:val="0B882E7B"/>
    <w:rsid w:val="12745F08"/>
    <w:rsid w:val="194A79C2"/>
    <w:rsid w:val="20832F5C"/>
    <w:rsid w:val="2336394B"/>
    <w:rsid w:val="23AB65F3"/>
    <w:rsid w:val="249C4E4A"/>
    <w:rsid w:val="28C96273"/>
    <w:rsid w:val="28E56790"/>
    <w:rsid w:val="33AD56A5"/>
    <w:rsid w:val="38600D35"/>
    <w:rsid w:val="45E654EE"/>
    <w:rsid w:val="4E87110B"/>
    <w:rsid w:val="4FBA5DF2"/>
    <w:rsid w:val="51B15B29"/>
    <w:rsid w:val="6A774E57"/>
    <w:rsid w:val="6F0F48D6"/>
    <w:rsid w:val="7D1C7A4B"/>
    <w:rsid w:val="EEFB8874"/>
    <w:rsid w:val="EF9FD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qFormat="1"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qFormat="1"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2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4">
    <w:name w:val="heading 2"/>
    <w:basedOn w:val="1"/>
    <w:next w:val="1"/>
    <w:link w:val="23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5">
    <w:name w:val="heading 3"/>
    <w:basedOn w:val="1"/>
    <w:next w:val="1"/>
    <w:link w:val="24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6">
    <w:name w:val="heading 4"/>
    <w:basedOn w:val="1"/>
    <w:next w:val="1"/>
    <w:link w:val="25"/>
    <w:semiHidden/>
    <w:unhideWhenUsed/>
    <w:qFormat/>
    <w:uiPriority w:val="9"/>
    <w:pPr>
      <w:keepNext/>
      <w:keepLines/>
      <w:spacing w:before="80" w:after="40"/>
      <w:outlineLvl w:val="3"/>
    </w:pPr>
    <w:rPr>
      <w:rFonts w:asciiTheme="minorHAnsi" w:hAnsiTheme="minorHAnsi" w:eastAsiaTheme="minorEastAsia" w:cstheme="majorBidi"/>
      <w:color w:val="2F5597" w:themeColor="accent1" w:themeShade="BF"/>
      <w:sz w:val="28"/>
      <w:szCs w:val="28"/>
    </w:rPr>
  </w:style>
  <w:style w:type="paragraph" w:styleId="7">
    <w:name w:val="heading 5"/>
    <w:basedOn w:val="1"/>
    <w:next w:val="1"/>
    <w:link w:val="26"/>
    <w:semiHidden/>
    <w:unhideWhenUsed/>
    <w:qFormat/>
    <w:uiPriority w:val="9"/>
    <w:pPr>
      <w:keepNext/>
      <w:keepLines/>
      <w:spacing w:before="80" w:after="40"/>
      <w:outlineLvl w:val="4"/>
    </w:pPr>
    <w:rPr>
      <w:rFonts w:asciiTheme="minorHAnsi" w:hAnsiTheme="minorHAnsi" w:eastAsiaTheme="minorEastAsia" w:cstheme="majorBidi"/>
      <w:color w:val="2F5597" w:themeColor="accent1" w:themeShade="BF"/>
      <w:sz w:val="24"/>
    </w:rPr>
  </w:style>
  <w:style w:type="paragraph" w:styleId="8">
    <w:name w:val="heading 6"/>
    <w:basedOn w:val="1"/>
    <w:next w:val="1"/>
    <w:link w:val="27"/>
    <w:semiHidden/>
    <w:unhideWhenUsed/>
    <w:qFormat/>
    <w:uiPriority w:val="9"/>
    <w:pPr>
      <w:keepNext/>
      <w:keepLines/>
      <w:spacing w:before="40"/>
      <w:outlineLvl w:val="5"/>
    </w:pPr>
    <w:rPr>
      <w:rFonts w:asciiTheme="minorHAnsi" w:hAnsiTheme="minorHAnsi" w:eastAsiaTheme="minorEastAsia" w:cstheme="majorBidi"/>
      <w:b/>
      <w:bCs/>
      <w:color w:val="2F5597" w:themeColor="accent1" w:themeShade="BF"/>
      <w:sz w:val="24"/>
    </w:rPr>
  </w:style>
  <w:style w:type="paragraph" w:styleId="9">
    <w:name w:val="heading 7"/>
    <w:basedOn w:val="1"/>
    <w:next w:val="1"/>
    <w:link w:val="28"/>
    <w:semiHidden/>
    <w:unhideWhenUsed/>
    <w:qFormat/>
    <w:uiPriority w:val="9"/>
    <w:pPr>
      <w:keepNext/>
      <w:keepLines/>
      <w:spacing w:before="40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sz w:val="24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8"/>
    <w:basedOn w:val="1"/>
    <w:next w:val="1"/>
    <w:link w:val="29"/>
    <w:semiHidden/>
    <w:unhideWhenUsed/>
    <w:qFormat/>
    <w:uiPriority w:val="9"/>
    <w:pPr>
      <w:keepNext/>
      <w:keepLines/>
      <w:outlineLvl w:val="7"/>
    </w:pPr>
    <w:rPr>
      <w:rFonts w:asciiTheme="minorHAnsi" w:hAnsiTheme="minorHAnsi" w:eastAsiaTheme="minorEastAsia" w:cstheme="majorBidi"/>
      <w:color w:val="595959" w:themeColor="text1" w:themeTint="A6"/>
      <w:sz w:val="24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1">
    <w:name w:val="heading 9"/>
    <w:basedOn w:val="1"/>
    <w:next w:val="1"/>
    <w:link w:val="30"/>
    <w:semiHidden/>
    <w:unhideWhenUsed/>
    <w:qFormat/>
    <w:uiPriority w:val="9"/>
    <w:pPr>
      <w:keepNext/>
      <w:keepLines/>
      <w:outlineLvl w:val="8"/>
    </w:pPr>
    <w:rPr>
      <w:rFonts w:asciiTheme="minorHAnsi" w:hAnsiTheme="minorHAnsi" w:eastAsiaTheme="majorEastAsia" w:cstheme="majorBidi"/>
      <w:color w:val="595959" w:themeColor="text1" w:themeTint="A6"/>
      <w:sz w:val="24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21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40"/>
    <w:qFormat/>
    <w:uiPriority w:val="0"/>
    <w:pPr>
      <w:spacing w:line="588" w:lineRule="atLeast"/>
    </w:pPr>
    <w:rPr>
      <w:rFonts w:eastAsia="方正仿宋_GBK"/>
      <w:spacing w:val="6"/>
      <w:sz w:val="30"/>
      <w:szCs w:val="22"/>
    </w:rPr>
  </w:style>
  <w:style w:type="paragraph" w:styleId="12">
    <w:name w:val="Body Text"/>
    <w:basedOn w:val="1"/>
    <w:next w:val="13"/>
    <w:link w:val="41"/>
    <w:semiHidden/>
    <w:qFormat/>
    <w:uiPriority w:val="0"/>
    <w:rPr>
      <w:rFonts w:ascii="Arial" w:hAnsi="Arial" w:eastAsia="Arial" w:cs="Arial"/>
      <w:szCs w:val="21"/>
      <w:lang w:eastAsia="en-US"/>
    </w:rPr>
  </w:style>
  <w:style w:type="paragraph" w:styleId="13">
    <w:name w:val="toc 9"/>
    <w:basedOn w:val="1"/>
    <w:next w:val="1"/>
    <w:semiHidden/>
    <w:unhideWhenUsed/>
    <w:qFormat/>
    <w:uiPriority w:val="39"/>
    <w:pPr>
      <w:ind w:left="3360" w:leftChars="1600"/>
    </w:pPr>
  </w:style>
  <w:style w:type="paragraph" w:styleId="14">
    <w:name w:val="Body Text Indent"/>
    <w:basedOn w:val="1"/>
    <w:next w:val="15"/>
    <w:link w:val="42"/>
    <w:qFormat/>
    <w:uiPriority w:val="0"/>
    <w:pPr>
      <w:ind w:firstLine="600" w:firstLineChars="200"/>
    </w:pPr>
    <w:rPr>
      <w:rFonts w:eastAsia="仿宋_GB2312"/>
      <w:sz w:val="30"/>
    </w:rPr>
  </w:style>
  <w:style w:type="paragraph" w:styleId="15">
    <w:name w:val="envelope return"/>
    <w:basedOn w:val="1"/>
    <w:semiHidden/>
    <w:unhideWhenUsed/>
    <w:qFormat/>
    <w:uiPriority w:val="99"/>
    <w:pPr>
      <w:snapToGrid w:val="0"/>
    </w:pPr>
    <w:rPr>
      <w:rFonts w:asciiTheme="majorHAnsi" w:hAnsiTheme="majorHAnsi" w:eastAsiaTheme="majorEastAsia" w:cstheme="majorBidi"/>
    </w:rPr>
  </w:style>
  <w:style w:type="paragraph" w:styleId="16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43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Subtitle"/>
    <w:basedOn w:val="1"/>
    <w:next w:val="1"/>
    <w:link w:val="32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9">
    <w:name w:val="Title"/>
    <w:basedOn w:val="1"/>
    <w:next w:val="1"/>
    <w:link w:val="31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2">
    <w:name w:val="标题 1 字符"/>
    <w:basedOn w:val="21"/>
    <w:link w:val="3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23">
    <w:name w:val="标题 2 字符"/>
    <w:basedOn w:val="21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24">
    <w:name w:val="标题 3 字符"/>
    <w:basedOn w:val="21"/>
    <w:link w:val="5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5">
    <w:name w:val="标题 4 字符"/>
    <w:basedOn w:val="21"/>
    <w:link w:val="6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6">
    <w:name w:val="标题 5 字符"/>
    <w:basedOn w:val="21"/>
    <w:link w:val="7"/>
    <w:semiHidden/>
    <w:qFormat/>
    <w:uiPriority w:val="9"/>
    <w:rPr>
      <w:rFonts w:cstheme="majorBidi"/>
      <w:color w:val="2F5597" w:themeColor="accent1" w:themeShade="BF"/>
      <w:sz w:val="24"/>
      <w:szCs w:val="24"/>
    </w:rPr>
  </w:style>
  <w:style w:type="character" w:customStyle="1" w:styleId="27">
    <w:name w:val="标题 6 字符"/>
    <w:basedOn w:val="21"/>
    <w:link w:val="8"/>
    <w:semiHidden/>
    <w:qFormat/>
    <w:uiPriority w:val="9"/>
    <w:rPr>
      <w:rFonts w:cstheme="majorBidi"/>
      <w:b/>
      <w:bCs/>
      <w:color w:val="2F5597" w:themeColor="accent1" w:themeShade="BF"/>
      <w:sz w:val="24"/>
      <w:szCs w:val="24"/>
    </w:rPr>
  </w:style>
  <w:style w:type="character" w:customStyle="1" w:styleId="28">
    <w:name w:val="标题 7 字符"/>
    <w:basedOn w:val="21"/>
    <w:link w:val="9"/>
    <w:semiHidden/>
    <w:qFormat/>
    <w:uiPriority w:val="9"/>
    <w:rPr>
      <w:rFonts w:cstheme="majorBidi"/>
      <w:b/>
      <w:bCs/>
      <w:color w:val="595959" w:themeColor="text1" w:themeTint="A6"/>
      <w:sz w:val="24"/>
      <w:szCs w:val="24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9">
    <w:name w:val="标题 8 字符"/>
    <w:basedOn w:val="21"/>
    <w:link w:val="10"/>
    <w:semiHidden/>
    <w:qFormat/>
    <w:uiPriority w:val="9"/>
    <w:rPr>
      <w:rFonts w:cstheme="majorBidi"/>
      <w:color w:val="595959" w:themeColor="text1" w:themeTint="A6"/>
      <w:sz w:val="24"/>
      <w:szCs w:val="24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0">
    <w:name w:val="标题 9 字符"/>
    <w:basedOn w:val="21"/>
    <w:link w:val="11"/>
    <w:semiHidden/>
    <w:qFormat/>
    <w:uiPriority w:val="9"/>
    <w:rPr>
      <w:rFonts w:eastAsiaTheme="majorEastAsia" w:cstheme="majorBidi"/>
      <w:color w:val="595959" w:themeColor="text1" w:themeTint="A6"/>
      <w:sz w:val="24"/>
      <w:szCs w:val="24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1">
    <w:name w:val="标题 字符"/>
    <w:basedOn w:val="21"/>
    <w:link w:val="19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2">
    <w:name w:val="副标题 字符"/>
    <w:basedOn w:val="21"/>
    <w:link w:val="18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3">
    <w:name w:val="Quote"/>
    <w:basedOn w:val="1"/>
    <w:next w:val="1"/>
    <w:link w:val="34"/>
    <w:qFormat/>
    <w:uiPriority w:val="29"/>
    <w:pPr>
      <w:spacing w:before="160" w:after="160"/>
      <w:jc w:val="center"/>
    </w:pPr>
    <w:rPr>
      <w:rFonts w:ascii="Times New Roman" w:hAnsi="Times New Roman" w:eastAsia="仿宋_GB2312"/>
      <w:i/>
      <w:iCs/>
      <w:color w:val="404040" w:themeColor="text1" w:themeTint="BF"/>
      <w:sz w:val="24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4">
    <w:name w:val="引用 字符"/>
    <w:basedOn w:val="21"/>
    <w:link w:val="33"/>
    <w:qFormat/>
    <w:uiPriority w:val="29"/>
    <w:rPr>
      <w:rFonts w:ascii="Times New Roman" w:hAnsi="Times New Roman" w:eastAsia="仿宋_GB2312" w:cs="Times New Roman"/>
      <w:i/>
      <w:iCs/>
      <w:color w:val="404040" w:themeColor="text1" w:themeTint="BF"/>
      <w:sz w:val="24"/>
      <w:szCs w:val="24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5">
    <w:name w:val="List Paragraph"/>
    <w:basedOn w:val="1"/>
    <w:qFormat/>
    <w:uiPriority w:val="34"/>
    <w:pPr>
      <w:ind w:left="720"/>
      <w:contextualSpacing/>
    </w:pPr>
    <w:rPr>
      <w:rFonts w:ascii="Times New Roman" w:hAnsi="Times New Roman" w:eastAsia="仿宋_GB2312"/>
      <w:sz w:val="24"/>
    </w:rPr>
  </w:style>
  <w:style w:type="character" w:customStyle="1" w:styleId="36">
    <w:name w:val="Intense Emphasis"/>
    <w:basedOn w:val="21"/>
    <w:qFormat/>
    <w:uiPriority w:val="21"/>
    <w:rPr>
      <w:i/>
      <w:iCs/>
      <w:color w:val="2F5597" w:themeColor="accent1" w:themeShade="BF"/>
    </w:rPr>
  </w:style>
  <w:style w:type="paragraph" w:styleId="37">
    <w:name w:val="Intense Quote"/>
    <w:basedOn w:val="1"/>
    <w:next w:val="1"/>
    <w:link w:val="38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rFonts w:ascii="Times New Roman" w:hAnsi="Times New Roman" w:eastAsia="仿宋_GB2312"/>
      <w:i/>
      <w:iCs/>
      <w:color w:val="2F5597" w:themeColor="accent1" w:themeShade="BF"/>
      <w:sz w:val="24"/>
    </w:rPr>
  </w:style>
  <w:style w:type="character" w:customStyle="1" w:styleId="38">
    <w:name w:val="明显引用 字符"/>
    <w:basedOn w:val="21"/>
    <w:link w:val="37"/>
    <w:qFormat/>
    <w:uiPriority w:val="30"/>
    <w:rPr>
      <w:rFonts w:ascii="Times New Roman" w:hAnsi="Times New Roman" w:eastAsia="仿宋_GB2312" w:cs="Times New Roman"/>
      <w:i/>
      <w:iCs/>
      <w:color w:val="2F5597" w:themeColor="accent1" w:themeShade="BF"/>
      <w:sz w:val="24"/>
      <w:szCs w:val="24"/>
    </w:rPr>
  </w:style>
  <w:style w:type="character" w:customStyle="1" w:styleId="39">
    <w:name w:val="Intense Reference"/>
    <w:basedOn w:val="21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40">
    <w:name w:val="正文文本缩进 2 字符"/>
    <w:basedOn w:val="21"/>
    <w:link w:val="2"/>
    <w:qFormat/>
    <w:uiPriority w:val="0"/>
    <w:rPr>
      <w:rFonts w:ascii="Calibri" w:hAnsi="Calibri" w:eastAsia="方正仿宋_GBK" w:cs="Times New Roman"/>
      <w:spacing w:val="6"/>
      <w:sz w:val="30"/>
    </w:rPr>
  </w:style>
  <w:style w:type="character" w:customStyle="1" w:styleId="41">
    <w:name w:val="正文文本 字符"/>
    <w:basedOn w:val="21"/>
    <w:link w:val="12"/>
    <w:semiHidden/>
    <w:qFormat/>
    <w:uiPriority w:val="0"/>
    <w:rPr>
      <w:rFonts w:ascii="Arial" w:hAnsi="Arial" w:eastAsia="Arial" w:cs="Arial"/>
      <w:szCs w:val="21"/>
      <w:lang w:eastAsia="en-US"/>
    </w:rPr>
  </w:style>
  <w:style w:type="character" w:customStyle="1" w:styleId="42">
    <w:name w:val="正文文本缩进 字符"/>
    <w:basedOn w:val="21"/>
    <w:link w:val="14"/>
    <w:qFormat/>
    <w:uiPriority w:val="0"/>
    <w:rPr>
      <w:rFonts w:ascii="Calibri" w:hAnsi="Calibri" w:eastAsia="仿宋_GB2312" w:cs="Times New Roman"/>
      <w:sz w:val="30"/>
      <w:szCs w:val="24"/>
    </w:rPr>
  </w:style>
  <w:style w:type="character" w:customStyle="1" w:styleId="43">
    <w:name w:val="页眉 字符"/>
    <w:basedOn w:val="21"/>
    <w:link w:val="1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44">
    <w:name w:val="页脚 字符"/>
    <w:basedOn w:val="21"/>
    <w:link w:val="16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1334</Words>
  <Characters>1491</Characters>
  <Lines>10</Lines>
  <Paragraphs>2</Paragraphs>
  <TotalTime>12</TotalTime>
  <ScaleCrop>false</ScaleCrop>
  <LinksUpToDate>false</LinksUpToDate>
  <CharactersWithSpaces>1511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2025-11-11T17:05:00Z</dcterms:created>
  <dc:creator>v</dc:creator>
  <cp:lastModifiedBy>～小太阳。</cp:lastModifiedBy>
  <dcterms:modified xsi:type="dcterms:W3CDTF">2025-12-15T00:34:58Z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eyJoZGlkIjoiN2JhZWQ5OTNmMDkxZjMwYjU4ZmUwNzc3NTdiZGUwY2IiLCJ1c2VySWQiOiIxMDc2NTE4NzkzIn0=</vt:lpwstr>
  </property>
  <property fmtid="{D5CDD505-2E9C-101B-9397-08002B2CF9AE}" pid="3" name="KSOProductBuildVer">
    <vt:lpwstr>2052-12.1.0.24034</vt:lpwstr>
  </property>
  <property fmtid="{D5CDD505-2E9C-101B-9397-08002B2CF9AE}" pid="4" name="ICV">
    <vt:lpwstr>A231BDDC759B411584F6EF9DD0B1EFFA_12</vt:lpwstr>
  </property>
</Properties>
</file>