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0C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2123423747_WPSOffice_Level1"/>
      <w:bookmarkStart w:id="1" w:name="_Toc178124550_WPSOffice_Level1"/>
      <w:bookmarkStart w:id="2" w:name="_Toc678217306_WPSOffice_Level1"/>
      <w:bookmarkStart w:id="3" w:name="_Toc1670908148_WPSOffice_Level1"/>
    </w:p>
    <w:p w14:paraId="27A0944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0E5D240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E7039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1F4F80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8A0DB9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6C8DFF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EC6D649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87</w:t>
      </w:r>
      <w:r>
        <w:rPr>
          <w:rFonts w:hint="eastAsia" w:ascii="仿宋_GB2312" w:eastAsia="仿宋_GB2312"/>
          <w:sz w:val="32"/>
        </w:rPr>
        <w:t>号</w:t>
      </w:r>
    </w:p>
    <w:p w14:paraId="27ED1EE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37" w:name="_GoBack"/>
    </w:p>
    <w:bookmarkEnd w:id="37"/>
    <w:p w14:paraId="6135DD64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关于屈原公园东大门牌坊修缮工程预算</w:t>
      </w:r>
    </w:p>
    <w:p w14:paraId="352A6C43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</w:p>
    <w:p w14:paraId="37880DB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7984363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常德市财政局经济建设科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60200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屈原公园东大门牌坊修缮工程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》相关资料收悉，按照客观、公正、科学的评审原则，我中心组织对该项目开展预算执行评审，具体情况如下：</w:t>
      </w:r>
    </w:p>
    <w:p w14:paraId="478EBAB1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4" w:name="_Toc891472834_WPSOffice_Level1"/>
      <w:bookmarkStart w:id="5" w:name="_Toc445877422_WPSOffice_Level1"/>
      <w:bookmarkStart w:id="6" w:name="_Toc215626143_WPSOffice_Level1"/>
      <w:bookmarkStart w:id="7" w:name="_Toc1862220243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499D01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472741964_WPSOffice_Level2"/>
      <w:bookmarkStart w:id="9" w:name="_Toc1067922961_WPSOffice_Level2"/>
      <w:bookmarkStart w:id="10" w:name="_Toc222933592_WPSOffice_Level2"/>
      <w:bookmarkStart w:id="11" w:name="_Toc90632560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</w:p>
    <w:p w14:paraId="66A8939B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项目根据市领导签批的《常德市城市管理和综合执法局&lt;关于2025年度园林绿化专项资金项目细化的请示&gt;》（常城管〔2025〕19号）立项，属于2025年部门预算安排的园林绿化提质改造专项资金内容之一。</w:t>
      </w:r>
      <w:bookmarkStart w:id="12" w:name="_Toc1446308865_WPSOffice_Level2"/>
      <w:bookmarkStart w:id="13" w:name="_Toc1094448419_WPSOffice_Level2"/>
      <w:bookmarkStart w:id="14" w:name="_Toc830963703_WPSOffice_Level2"/>
      <w:bookmarkStart w:id="15" w:name="_Toc1069041809_WPSOffice_Level2"/>
    </w:p>
    <w:p w14:paraId="4F8536F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（二）项目主要内容及申报预算情况</w:t>
      </w:r>
      <w:bookmarkEnd w:id="12"/>
      <w:bookmarkEnd w:id="13"/>
      <w:bookmarkEnd w:id="14"/>
      <w:bookmarkEnd w:id="15"/>
    </w:p>
    <w:p w14:paraId="4499AF7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屈原公园东大门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牌楼于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2007年建成，2025年顶部石材脱落，经鉴定石材幕墙安全等级为C级，存在钢龙骨连接件锈蚀脱落、石材高空落物等较大安全隐患。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为消除安全隐患，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常德市园林绿化服务中心申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</w:rPr>
        <w:t>屈原公园东大门牌坊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修缮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，修缮内容：拆除及恢复钢骨架、干挂石材装饰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,灯具管线及监控恢复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，估算资金约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6ED41FE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16" w:name="_Toc581615128_WPSOffice_Level1"/>
      <w:bookmarkStart w:id="17" w:name="_Toc1890145904_WPSOffice_Level1"/>
      <w:bookmarkStart w:id="18" w:name="_Toc976241670_WPSOffice_Level1"/>
      <w:bookmarkStart w:id="19" w:name="_Toc182692291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67099E5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016BF95F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770C4D1D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2DF745C0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常德市城市管理和综合执法局《关于2025年度园林绿化专项资金项目细化的请示》（常城管〔2025〕19号）。</w:t>
      </w:r>
    </w:p>
    <w:p w14:paraId="023BA61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hint="eastAsia" w:ascii="仿宋_GB2312" w:hAnsi="仿宋_GB2312" w:cs="仿宋_GB2312"/>
          <w:sz w:val="32"/>
          <w:szCs w:val="32"/>
        </w:rPr>
      </w:pPr>
      <w:bookmarkStart w:id="20" w:name="_Toc450291478_WPSOffice_Level2"/>
      <w:bookmarkStart w:id="21" w:name="_Toc479871566_WPSOffice_Level2"/>
      <w:bookmarkStart w:id="22" w:name="_Toc680724078_WPSOffice_Level2"/>
      <w:bookmarkStart w:id="23" w:name="_Toc333544456_WPSOffice_Level2"/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常德市建设工程造价管理站《关于公布常德市二○二五年第十期建设工程材料市场综合价的通知》（</w:t>
      </w:r>
      <w:r>
        <w:rPr>
          <w:rFonts w:hint="eastAsia" w:ascii="仿宋_GB2312"/>
          <w:sz w:val="32"/>
          <w:szCs w:val="32"/>
        </w:rPr>
        <w:t>常建价〔2025〕14号</w:t>
      </w:r>
      <w:r>
        <w:rPr>
          <w:rFonts w:hint="eastAsia" w:ascii="仿宋_GB2312" w:hAnsi="仿宋_GB2312" w:cs="仿宋_GB2312"/>
          <w:sz w:val="32"/>
          <w:szCs w:val="32"/>
        </w:rPr>
        <w:t>）及市场价格。</w:t>
      </w:r>
      <w:bookmarkEnd w:id="20"/>
      <w:bookmarkEnd w:id="21"/>
      <w:bookmarkEnd w:id="22"/>
      <w:bookmarkEnd w:id="23"/>
    </w:p>
    <w:p w14:paraId="455FF4A2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2"/>
        <w:rPr>
          <w:rFonts w:hint="eastAsia" w:ascii="仿宋_GB2312" w:hAnsi="仿宋_GB2312" w:cs="仿宋_GB2312"/>
          <w:sz w:val="32"/>
          <w:szCs w:val="32"/>
        </w:rPr>
      </w:pPr>
      <w:bookmarkStart w:id="24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4"/>
    </w:p>
    <w:p w14:paraId="0D38C5BF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25" w:name="_Toc913869554_WPSOffice_Level1"/>
      <w:bookmarkStart w:id="26" w:name="_Toc1699738589_WPSOffice_Level1"/>
      <w:bookmarkStart w:id="27" w:name="_Toc1890271026_WPSOffice_Level1"/>
      <w:bookmarkStart w:id="28" w:name="_Toc757239869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5"/>
      <w:bookmarkEnd w:id="26"/>
      <w:bookmarkEnd w:id="27"/>
      <w:bookmarkEnd w:id="28"/>
    </w:p>
    <w:p w14:paraId="1AC00F9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199761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195919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元，审减金额为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3842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元。其中：工程费审减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元，前期费审减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元，不可预见费审减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3704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元。审减主要原因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为不可预见费按工程费的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3%计取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666739B0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29" w:name="_Toc1954155083_WPSOffice_Level1"/>
      <w:bookmarkStart w:id="30" w:name="_Toc545252939_WPSOffice_Level1"/>
      <w:bookmarkStart w:id="31" w:name="_Toc308870453_WPSOffice_Level1"/>
      <w:bookmarkStart w:id="32" w:name="_Toc1156470918_WPSOffice_Level1"/>
      <w:r>
        <w:rPr>
          <w:rFonts w:hint="eastAsia" w:ascii="黑体" w:hAnsi="黑体" w:eastAsia="黑体" w:cs="黑体"/>
          <w:sz w:val="32"/>
          <w:szCs w:val="32"/>
        </w:rPr>
        <w:t>四、</w:t>
      </w:r>
      <w:bookmarkEnd w:id="29"/>
      <w:bookmarkEnd w:id="30"/>
      <w:bookmarkEnd w:id="31"/>
      <w:bookmarkEnd w:id="32"/>
      <w:bookmarkStart w:id="33" w:name="_Toc391484743_WPSOffice_Level1"/>
      <w:bookmarkStart w:id="34" w:name="_Toc340961487_WPSOffice_Level1"/>
      <w:bookmarkStart w:id="35" w:name="_Toc669635750_WPSOffice_Level1"/>
      <w:bookmarkStart w:id="36" w:name="_Toc1244274959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有关事项说明</w:t>
      </w:r>
      <w:bookmarkEnd w:id="33"/>
      <w:bookmarkEnd w:id="34"/>
      <w:bookmarkEnd w:id="35"/>
      <w:bookmarkEnd w:id="36"/>
    </w:p>
    <w:p w14:paraId="211D0E7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评审结果是该项目财政预算控制上限，作为预算执行的重要依据，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。请</w:t>
      </w:r>
      <w:r>
        <w:rPr>
          <w:rFonts w:hint="eastAsia" w:ascii="Times New Roman" w:hAnsi="Times New Roman" w:eastAsia="仿宋_GB2312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72C1034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</w:p>
    <w:p w14:paraId="2B66E342"/>
    <w:p w14:paraId="25292D53"/>
    <w:p w14:paraId="5A836622">
      <w:pPr>
        <w:pStyle w:val="2"/>
      </w:pPr>
    </w:p>
    <w:p w14:paraId="133D07CD">
      <w:pPr>
        <w:pStyle w:val="2"/>
      </w:pPr>
    </w:p>
    <w:p w14:paraId="77A690EC">
      <w:pPr>
        <w:pStyle w:val="2"/>
      </w:pPr>
    </w:p>
    <w:p w14:paraId="37BC9488"/>
    <w:p w14:paraId="589AF4E7">
      <w:pPr>
        <w:overflowPunct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4BB23768">
      <w:pPr>
        <w:pStyle w:val="2"/>
        <w:wordWrap w:val="0"/>
        <w:spacing w:line="600" w:lineRule="exact"/>
        <w:ind w:left="5460" w:right="332" w:hanging="73"/>
        <w:jc w:val="right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2255C81F"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 w14:paraId="357D3B8F"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 w14:paraId="1D93D8B8"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 w14:paraId="20F9B298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</w:p>
    <w:tbl>
      <w:tblPr>
        <w:tblStyle w:val="20"/>
        <w:tblW w:w="88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020"/>
        <w:gridCol w:w="1465"/>
        <w:gridCol w:w="1465"/>
        <w:gridCol w:w="1265"/>
        <w:gridCol w:w="200"/>
        <w:gridCol w:w="1702"/>
        <w:gridCol w:w="12"/>
      </w:tblGrid>
      <w:tr w14:paraId="50BE7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80" w:hRule="atLeast"/>
          <w:jc w:val="center"/>
        </w:trPr>
        <w:tc>
          <w:tcPr>
            <w:tcW w:w="884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80A81E">
            <w:pPr>
              <w:pStyle w:val="12"/>
              <w:spacing w:line="600" w:lineRule="exact"/>
              <w:jc w:val="center"/>
              <w:outlineLvl w:val="0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屈原公园东大门牌坊修缮工程预算执行</w:t>
            </w:r>
            <w:r>
              <w:rPr>
                <w:rFonts w:hint="eastAsia" w:ascii="宋体" w:hAnsi="宋体" w:eastAsia="宋体" w:cs="宋体"/>
                <w:color w:val="000000"/>
                <w:sz w:val="4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评审汇总表</w:t>
            </w:r>
          </w:p>
        </w:tc>
      </w:tr>
      <w:tr w14:paraId="0CDC4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exact"/>
          <w:jc w:val="center"/>
        </w:trPr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74C31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582B"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金额单位：元</w:t>
            </w:r>
          </w:p>
        </w:tc>
      </w:tr>
      <w:tr w14:paraId="1CF19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58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57A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9F2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送审金额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E9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审定金额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32F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审减金额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75F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  注</w:t>
            </w:r>
          </w:p>
        </w:tc>
      </w:tr>
      <w:tr w14:paraId="72BA7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02B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9F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工程费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185149 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41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185105 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E51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4CB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73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二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6A0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前期费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4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3689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3595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9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2B4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3B7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784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7523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建设单位管理费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0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1666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0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1666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6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42D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E939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C6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2806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不可预见费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43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9257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1F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5553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2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3704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80C1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工程费的3%</w:t>
            </w:r>
          </w:p>
        </w:tc>
      </w:tr>
      <w:tr w14:paraId="67F8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F8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A0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C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199761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195919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2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3842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2A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审减率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1.92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%</w:t>
            </w:r>
          </w:p>
        </w:tc>
      </w:tr>
    </w:tbl>
    <w:p w14:paraId="46B5160B"/>
    <w:sectPr>
      <w:pgSz w:w="11906" w:h="16838"/>
      <w:pgMar w:top="2154" w:right="1531" w:bottom="1440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85B23"/>
    <w:rsid w:val="001215E9"/>
    <w:rsid w:val="00124BA6"/>
    <w:rsid w:val="001479F8"/>
    <w:rsid w:val="00224739"/>
    <w:rsid w:val="002550DA"/>
    <w:rsid w:val="00293F9D"/>
    <w:rsid w:val="002A76CD"/>
    <w:rsid w:val="0030666D"/>
    <w:rsid w:val="003459A7"/>
    <w:rsid w:val="003C1927"/>
    <w:rsid w:val="004A70E5"/>
    <w:rsid w:val="004D08C3"/>
    <w:rsid w:val="00530125"/>
    <w:rsid w:val="00597761"/>
    <w:rsid w:val="005C25C6"/>
    <w:rsid w:val="005E03B0"/>
    <w:rsid w:val="00617840"/>
    <w:rsid w:val="006365E1"/>
    <w:rsid w:val="00643849"/>
    <w:rsid w:val="00684E64"/>
    <w:rsid w:val="006908F6"/>
    <w:rsid w:val="006F4ED8"/>
    <w:rsid w:val="007674DA"/>
    <w:rsid w:val="00783187"/>
    <w:rsid w:val="007977F1"/>
    <w:rsid w:val="00885C95"/>
    <w:rsid w:val="008949B8"/>
    <w:rsid w:val="008C6E6E"/>
    <w:rsid w:val="009729BD"/>
    <w:rsid w:val="00983433"/>
    <w:rsid w:val="009A5363"/>
    <w:rsid w:val="009D0076"/>
    <w:rsid w:val="009D294F"/>
    <w:rsid w:val="009E1678"/>
    <w:rsid w:val="009E3E4E"/>
    <w:rsid w:val="00A20CF8"/>
    <w:rsid w:val="00A83634"/>
    <w:rsid w:val="00AE318F"/>
    <w:rsid w:val="00B10D36"/>
    <w:rsid w:val="00B131C8"/>
    <w:rsid w:val="00B13E31"/>
    <w:rsid w:val="00B57111"/>
    <w:rsid w:val="00BD2724"/>
    <w:rsid w:val="00C160E8"/>
    <w:rsid w:val="00C3151B"/>
    <w:rsid w:val="00C363A1"/>
    <w:rsid w:val="00C60121"/>
    <w:rsid w:val="00C879BE"/>
    <w:rsid w:val="00CB2A73"/>
    <w:rsid w:val="00D40239"/>
    <w:rsid w:val="00D45129"/>
    <w:rsid w:val="00D505AA"/>
    <w:rsid w:val="00D62C9B"/>
    <w:rsid w:val="00D83731"/>
    <w:rsid w:val="00DB1BF1"/>
    <w:rsid w:val="00DD2057"/>
    <w:rsid w:val="00DE41FE"/>
    <w:rsid w:val="00ED1673"/>
    <w:rsid w:val="00F67CB7"/>
    <w:rsid w:val="00F85FF3"/>
    <w:rsid w:val="00FE121F"/>
    <w:rsid w:val="00FE4C73"/>
    <w:rsid w:val="098267C0"/>
    <w:rsid w:val="1C797728"/>
    <w:rsid w:val="1EA065AD"/>
    <w:rsid w:val="237C7AAB"/>
    <w:rsid w:val="281034F7"/>
    <w:rsid w:val="35CA736D"/>
    <w:rsid w:val="3C6D0F47"/>
    <w:rsid w:val="41957849"/>
    <w:rsid w:val="46420831"/>
    <w:rsid w:val="4CD60339"/>
    <w:rsid w:val="542260D0"/>
    <w:rsid w:val="564E1B99"/>
    <w:rsid w:val="6EA109B6"/>
    <w:rsid w:val="6FAC19B2"/>
    <w:rsid w:val="7A611E3D"/>
    <w:rsid w:val="7B5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2">
    <w:name w:val="Body Text"/>
    <w:basedOn w:val="1"/>
    <w:next w:val="13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3">
    <w:name w:val="toc 9"/>
    <w:basedOn w:val="1"/>
    <w:next w:val="1"/>
    <w:autoRedefine/>
    <w:semiHidden/>
    <w:unhideWhenUsed/>
    <w:qFormat/>
    <w:uiPriority w:val="39"/>
    <w:pPr>
      <w:ind w:left="3360" w:leftChars="1600"/>
    </w:pPr>
  </w:style>
  <w:style w:type="paragraph" w:styleId="14">
    <w:name w:val="Body Text Indent"/>
    <w:basedOn w:val="1"/>
    <w:next w:val="15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5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7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8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9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10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1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2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2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4"/>
    <w:qFormat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1063</Words>
  <Characters>1186</Characters>
  <Lines>9</Lines>
  <Paragraphs>2</Paragraphs>
  <TotalTime>5</TotalTime>
  <ScaleCrop>false</ScaleCrop>
  <LinksUpToDate>false</LinksUpToDate>
  <CharactersWithSpaces>1208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2025-11-11T09:05:00Z</dcterms:created>
  <dc:creator>v</dc:creator>
  <cp:lastModifiedBy>～小太阳。</cp:lastModifiedBy>
  <cp:lastPrinted>2025-12-18T02:41:29Z</cp:lastPrinted>
  <dcterms:modified xsi:type="dcterms:W3CDTF">2025-12-18T03:36:27Z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2052-12.1.0.24034</vt:lpwstr>
  </property>
  <property fmtid="{D5CDD505-2E9C-101B-9397-08002B2CF9AE}" pid="4" name="ICV">
    <vt:lpwstr>D8A3BBD284804224AF009C0622BAC8EA_12</vt:lpwstr>
  </property>
</Properties>
</file>