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47910">
      <w:pPr>
        <w:pStyle w:val="1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ascii="Times New Roman" w:hAnsi="Times New Roman" w:eastAsia="方正小标宋_GBK" w:cs="Times New Roman"/>
          <w:color w:val="000000"/>
          <w:sz w:val="44"/>
          <w:lang w:eastAsia="zh-CN"/>
        </w:rPr>
      </w:pPr>
      <w:bookmarkStart w:id="0" w:name="_Toc678217306_WPSOffice_Level1"/>
      <w:bookmarkStart w:id="1" w:name="_Toc2123423747_WPSOffice_Level1"/>
      <w:bookmarkStart w:id="2" w:name="_Toc178124550_WPSOffice_Level1"/>
      <w:bookmarkStart w:id="3" w:name="_Toc1670908148_WPSOffice_Level1"/>
    </w:p>
    <w:p w14:paraId="68023750">
      <w:pPr>
        <w:pStyle w:val="1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pPr>
    </w:p>
    <w:p w14:paraId="7EDCB7B8">
      <w:pPr>
        <w:pStyle w:val="13"/>
        <w:keepNext w:val="0"/>
        <w:keepLines w:val="0"/>
        <w:pageBreakBefore w:val="0"/>
        <w:widowControl w:val="0"/>
        <w:kinsoku/>
        <w:wordWrap/>
        <w:overflowPunct/>
        <w:topLinePunct w:val="0"/>
        <w:autoSpaceDE/>
        <w:autoSpaceDN/>
        <w:bidi w:val="0"/>
        <w:adjustRightInd/>
        <w:snapToGrid/>
        <w:spacing w:line="600" w:lineRule="exact"/>
        <w:ind w:left="0" w:leftChars="0"/>
        <w:jc w:val="center"/>
        <w:textAlignment w:val="auto"/>
      </w:pPr>
    </w:p>
    <w:p w14:paraId="004E44F4">
      <w:pPr>
        <w:keepNext w:val="0"/>
        <w:keepLines w:val="0"/>
        <w:pageBreakBefore w:val="0"/>
        <w:widowControl w:val="0"/>
        <w:kinsoku/>
        <w:wordWrap/>
        <w:overflowPunct/>
        <w:topLinePunct w:val="0"/>
        <w:autoSpaceDE/>
        <w:autoSpaceDN/>
        <w:bidi w:val="0"/>
        <w:adjustRightInd/>
        <w:snapToGrid/>
        <w:spacing w:line="600" w:lineRule="exact"/>
        <w:jc w:val="center"/>
        <w:textAlignment w:val="auto"/>
      </w:pPr>
    </w:p>
    <w:p w14:paraId="470B0C97">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pPr>
    </w:p>
    <w:p w14:paraId="09114C05">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pPr>
    </w:p>
    <w:p w14:paraId="7B2D5256">
      <w:pPr>
        <w:pStyle w:val="2"/>
        <w:keepNext w:val="0"/>
        <w:keepLines w:val="0"/>
        <w:pageBreakBefore w:val="0"/>
        <w:widowControl w:val="0"/>
        <w:kinsoku/>
        <w:wordWrap/>
        <w:overflowPunct/>
        <w:topLinePunct w:val="0"/>
        <w:autoSpaceDE/>
        <w:autoSpaceDN/>
        <w:bidi w:val="0"/>
        <w:adjustRightInd/>
        <w:snapToGrid/>
        <w:spacing w:line="600" w:lineRule="exact"/>
        <w:jc w:val="center"/>
        <w:textAlignment w:val="auto"/>
      </w:pPr>
    </w:p>
    <w:p w14:paraId="6F768120">
      <w:pPr>
        <w:spacing w:line="600" w:lineRule="exact"/>
        <w:jc w:val="center"/>
        <w:rPr>
          <w:rFonts w:ascii="仿宋_GB2312" w:eastAsia="仿宋_GB2312"/>
          <w:sz w:val="32"/>
        </w:rPr>
      </w:pPr>
      <w:r>
        <w:rPr>
          <w:rFonts w:hint="eastAsia" w:ascii="仿宋_GB2312" w:eastAsia="仿宋_GB2312"/>
          <w:sz w:val="32"/>
        </w:rPr>
        <w:t>常财审</w:t>
      </w:r>
      <w:r>
        <w:rPr>
          <w:rFonts w:hint="eastAsia" w:ascii="仿宋_GB2312" w:hAnsi="仿宋_GB2312" w:eastAsia="仿宋_GB2312"/>
          <w:sz w:val="32"/>
        </w:rPr>
        <w:t>〔2025〕预</w:t>
      </w:r>
      <w:r>
        <w:rPr>
          <w:rFonts w:hint="eastAsia" w:ascii="仿宋_GB2312" w:eastAsia="仿宋_GB2312"/>
          <w:sz w:val="32"/>
        </w:rPr>
        <w:t>字</w:t>
      </w:r>
      <w:r>
        <w:rPr>
          <w:rFonts w:hint="eastAsia" w:ascii="仿宋_GB2312" w:eastAsia="仿宋_GB2312"/>
          <w:sz w:val="32"/>
          <w:lang w:val="en-US" w:eastAsia="zh-CN"/>
        </w:rPr>
        <w:t>89</w:t>
      </w:r>
      <w:r>
        <w:rPr>
          <w:rFonts w:hint="eastAsia" w:ascii="仿宋_GB2312" w:eastAsia="仿宋_GB2312"/>
          <w:sz w:val="32"/>
        </w:rPr>
        <w:t>号</w:t>
      </w:r>
    </w:p>
    <w:p w14:paraId="1525D9CC">
      <w:pPr>
        <w:pStyle w:val="12"/>
        <w:spacing w:line="600" w:lineRule="exact"/>
        <w:jc w:val="center"/>
        <w:outlineLvl w:val="0"/>
        <w:rPr>
          <w:rFonts w:ascii="Times New Roman" w:hAnsi="Times New Roman" w:eastAsia="方正小标宋_GBK" w:cs="Times New Roman"/>
          <w:color w:val="000000"/>
          <w:sz w:val="44"/>
          <w:lang w:eastAsia="zh-CN"/>
        </w:rPr>
      </w:pPr>
    </w:p>
    <w:p w14:paraId="7DDD5293">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关于常德师范学校和桃源师范学校合并搬迁</w:t>
      </w:r>
    </w:p>
    <w:p w14:paraId="743DD0BE">
      <w:pPr>
        <w:pStyle w:val="12"/>
        <w:spacing w:line="600" w:lineRule="exact"/>
        <w:jc w:val="center"/>
        <w:outlineLvl w:val="0"/>
        <w:rPr>
          <w:rFonts w:ascii="宋体" w:hAnsi="宋体" w:eastAsia="宋体" w:cs="宋体"/>
          <w:color w:val="000000"/>
          <w:sz w:val="44"/>
          <w:lang w:eastAsia="zh-CN"/>
        </w:rPr>
      </w:pPr>
      <w:r>
        <w:rPr>
          <w:rFonts w:hint="eastAsia" w:ascii="宋体" w:hAnsi="宋体" w:eastAsia="宋体" w:cs="宋体"/>
          <w:color w:val="000000"/>
          <w:sz w:val="44"/>
          <w:lang w:eastAsia="zh-CN"/>
        </w:rPr>
        <w:t>新建项目消防整改工程预算执行的</w:t>
      </w:r>
      <w:bookmarkEnd w:id="0"/>
      <w:bookmarkEnd w:id="1"/>
      <w:bookmarkEnd w:id="2"/>
      <w:bookmarkEnd w:id="3"/>
      <w:r>
        <w:rPr>
          <w:rFonts w:hint="eastAsia" w:ascii="宋体" w:hAnsi="宋体" w:eastAsia="宋体" w:cs="宋体"/>
          <w:color w:val="000000"/>
          <w:sz w:val="44"/>
          <w:lang w:eastAsia="zh-CN"/>
        </w:rPr>
        <w:t>评审报告</w:t>
      </w:r>
    </w:p>
    <w:p w14:paraId="3BDAD36A">
      <w:pPr>
        <w:spacing w:line="600" w:lineRule="exact"/>
        <w:ind w:firstLine="640" w:firstLineChars="200"/>
        <w:rPr>
          <w:rFonts w:ascii="Times New Roman" w:hAnsi="Times New Roman" w:eastAsia="仿宋_GB2312"/>
          <w:color w:val="000000"/>
          <w:sz w:val="32"/>
          <w:szCs w:val="32"/>
        </w:rPr>
      </w:pPr>
    </w:p>
    <w:p w14:paraId="5B9187D9">
      <w:pPr>
        <w:overflowPunct w:val="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常德市财政局科教科、常德市融资核算中心</w:t>
      </w:r>
      <w:r>
        <w:rPr>
          <w:rFonts w:hint="eastAsia" w:ascii="仿宋_GB2312" w:hAnsi="仿宋_GB2312" w:eastAsia="仿宋_GB2312" w:cs="仿宋_GB2312"/>
          <w:color w:val="000000"/>
          <w:sz w:val="32"/>
          <w:szCs w:val="32"/>
        </w:rPr>
        <w:t>：</w:t>
      </w:r>
    </w:p>
    <w:p w14:paraId="53C5588D">
      <w:pPr>
        <w:keepNext w:val="0"/>
        <w:keepLines w:val="0"/>
        <w:pageBreakBefore w:val="0"/>
        <w:kinsoku/>
        <w:wordWrap/>
        <w:overflowPunct w:val="0"/>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《常德师范学校和桃源师范学校合并搬迁新建项目消防整改工程》相关资料收悉，按照客观、公正、科学的评审原则，我中心组织对该项目消防整改工程开展预算执行评审，具体情况如下：</w:t>
      </w:r>
    </w:p>
    <w:p w14:paraId="486983D9">
      <w:pPr>
        <w:pStyle w:val="14"/>
        <w:keepNext w:val="0"/>
        <w:keepLines w:val="0"/>
        <w:pageBreakBefore w:val="0"/>
        <w:tabs>
          <w:tab w:val="left" w:pos="6266"/>
        </w:tabs>
        <w:kinsoku/>
        <w:wordWrap/>
        <w:topLinePunct w:val="0"/>
        <w:autoSpaceDE/>
        <w:autoSpaceDN/>
        <w:bidi w:val="0"/>
        <w:spacing w:line="560" w:lineRule="exact"/>
        <w:ind w:left="0" w:firstLine="640" w:firstLineChars="200"/>
        <w:textAlignment w:val="auto"/>
        <w:outlineLvl w:val="0"/>
        <w:rPr>
          <w:rFonts w:ascii="黑体" w:hAnsi="黑体" w:eastAsia="黑体" w:cs="黑体"/>
          <w:color w:val="000000"/>
          <w:sz w:val="32"/>
          <w:szCs w:val="32"/>
        </w:rPr>
      </w:pPr>
      <w:bookmarkStart w:id="4" w:name="_Toc891472834_WPSOffice_Level1"/>
      <w:bookmarkStart w:id="5" w:name="_Toc1862220243_WPSOffice_Level1"/>
      <w:bookmarkStart w:id="6" w:name="_Toc445877422_WPSOffice_Level1"/>
      <w:bookmarkStart w:id="7" w:name="_Toc215626143_WPSOffice_Level1"/>
      <w:r>
        <w:rPr>
          <w:rFonts w:hint="eastAsia" w:ascii="黑体" w:hAnsi="黑体" w:eastAsia="黑体" w:cs="黑体"/>
          <w:color w:val="000000"/>
          <w:sz w:val="32"/>
          <w:szCs w:val="32"/>
        </w:rPr>
        <w:t>一、项目概况</w:t>
      </w:r>
      <w:bookmarkEnd w:id="4"/>
      <w:bookmarkEnd w:id="5"/>
      <w:bookmarkEnd w:id="6"/>
      <w:bookmarkEnd w:id="7"/>
    </w:p>
    <w:p w14:paraId="5D9B1F9C">
      <w:pPr>
        <w:keepNext w:val="0"/>
        <w:keepLines w:val="0"/>
        <w:pageBreakBefore w:val="0"/>
        <w:kinsoku/>
        <w:wordWrap/>
        <w:topLinePunct w:val="0"/>
        <w:autoSpaceDE/>
        <w:autoSpaceDN/>
        <w:bidi w:val="0"/>
        <w:spacing w:line="560" w:lineRule="exact"/>
        <w:ind w:left="0" w:firstLine="643" w:firstLineChars="200"/>
        <w:textAlignment w:val="auto"/>
        <w:outlineLvl w:val="1"/>
        <w:rPr>
          <w:rFonts w:ascii="Times New Roman" w:hAnsi="Times New Roman" w:eastAsia="楷体_GB2312"/>
          <w:b/>
          <w:bCs/>
          <w:sz w:val="32"/>
          <w:szCs w:val="32"/>
        </w:rPr>
      </w:pPr>
      <w:bookmarkStart w:id="8" w:name="_Toc1067922961_WPSOffice_Level2"/>
      <w:bookmarkStart w:id="9" w:name="_Toc222933592_WPSOffice_Level2"/>
      <w:bookmarkStart w:id="10" w:name="_Toc472741964_WPSOffice_Level2"/>
      <w:bookmarkStart w:id="11" w:name="_Toc90632560_WPSOffice_Level2"/>
      <w:r>
        <w:rPr>
          <w:rFonts w:ascii="Times New Roman" w:hAnsi="Times New Roman" w:eastAsia="楷体_GB2312"/>
          <w:b/>
          <w:bCs/>
          <w:sz w:val="32"/>
          <w:szCs w:val="32"/>
        </w:rPr>
        <w:t>（一）项目基本情况</w:t>
      </w:r>
      <w:bookmarkEnd w:id="8"/>
      <w:bookmarkEnd w:id="9"/>
      <w:bookmarkEnd w:id="10"/>
      <w:bookmarkEnd w:id="11"/>
    </w:p>
    <w:p w14:paraId="7AE7ED0E">
      <w:pPr>
        <w:pStyle w:val="2"/>
        <w:keepNext w:val="0"/>
        <w:keepLines w:val="0"/>
        <w:pageBreakBefore w:val="0"/>
        <w:kinsoku/>
        <w:wordWrap/>
        <w:topLinePunct w:val="0"/>
        <w:autoSpaceDE/>
        <w:autoSpaceDN/>
        <w:bidi w:val="0"/>
        <w:spacing w:line="560" w:lineRule="exact"/>
        <w:ind w:left="0" w:firstLine="664" w:firstLineChars="200"/>
        <w:textAlignment w:val="auto"/>
        <w:rPr>
          <w:rFonts w:ascii="仿宋_GB2312" w:hAnsi="仿宋_GB2312" w:eastAsia="仿宋_GB2312" w:cs="仿宋_GB2312"/>
          <w:color w:val="000000"/>
          <w:sz w:val="32"/>
          <w:szCs w:val="32"/>
          <w:highlight w:val="yellow"/>
        </w:rPr>
      </w:pPr>
      <w:bookmarkStart w:id="12" w:name="_Toc830963703_WPSOffice_Level2"/>
      <w:bookmarkStart w:id="13" w:name="_Toc1094448419_WPSOffice_Level2"/>
      <w:bookmarkStart w:id="14" w:name="_Toc1446308865_WPSOffice_Level2"/>
      <w:bookmarkStart w:id="15" w:name="_Toc1069041809_WPSOffice_Level2"/>
      <w:r>
        <w:rPr>
          <w:rFonts w:hint="eastAsia" w:ascii="仿宋_GB2312" w:hAnsi="仿宋_GB2312" w:eastAsia="仿宋_GB2312" w:cs="仿宋_GB2312"/>
          <w:color w:val="000000"/>
          <w:sz w:val="32"/>
          <w:szCs w:val="32"/>
        </w:rPr>
        <w:t>常德师范学校和桃源师范学校合并搬迁新建项目原</w:t>
      </w:r>
      <w:r>
        <w:rPr>
          <w:rFonts w:hint="eastAsia" w:ascii="仿宋_GB2312" w:hAnsi="仿宋_GB2312" w:eastAsia="仿宋_GB2312" w:cs="仿宋_GB2312"/>
          <w:sz w:val="32"/>
          <w:szCs w:val="32"/>
        </w:rPr>
        <w:t>由市发改委常发改社</w:t>
      </w:r>
      <w:r>
        <w:rPr>
          <w:rFonts w:hint="eastAsia" w:ascii="仿宋_GB2312" w:hAnsi="仿宋_GB2312" w:eastAsia="仿宋_GB2312" w:cs="仿宋_GB2312"/>
          <w:color w:val="000000"/>
          <w:sz w:val="32"/>
          <w:szCs w:val="32"/>
        </w:rPr>
        <w:t>〔2011〕</w:t>
      </w:r>
      <w:r>
        <w:rPr>
          <w:rFonts w:ascii="仿宋_GB2312" w:hAnsi="仿宋_GB2312" w:eastAsia="仿宋_GB2312" w:cs="仿宋_GB2312"/>
          <w:color w:val="000000"/>
          <w:sz w:val="32"/>
          <w:szCs w:val="32"/>
        </w:rPr>
        <w:t>577</w:t>
      </w:r>
      <w:r>
        <w:rPr>
          <w:rFonts w:hint="eastAsia" w:ascii="仿宋_GB2312" w:hAnsi="仿宋_GB2312" w:eastAsia="仿宋_GB2312" w:cs="仿宋_GB2312"/>
          <w:color w:val="000000"/>
          <w:sz w:val="32"/>
          <w:szCs w:val="32"/>
        </w:rPr>
        <w:t>号</w:t>
      </w:r>
      <w:r>
        <w:rPr>
          <w:rFonts w:hint="eastAsia" w:ascii="仿宋_GB2312" w:hAnsi="仿宋_GB2312" w:eastAsia="仿宋_GB2312" w:cs="仿宋_GB2312"/>
          <w:sz w:val="32"/>
          <w:szCs w:val="32"/>
        </w:rPr>
        <w:t>文批复立项，20</w:t>
      </w:r>
      <w:r>
        <w:rPr>
          <w:rFonts w:ascii="仿宋_GB2312" w:hAnsi="仿宋_GB2312" w:eastAsia="仿宋_GB2312" w:cs="仿宋_GB2312"/>
          <w:sz w:val="32"/>
          <w:szCs w:val="32"/>
        </w:rPr>
        <w:t>12</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10</w:t>
      </w:r>
      <w:r>
        <w:rPr>
          <w:rFonts w:hint="eastAsia" w:ascii="仿宋_GB2312" w:hAnsi="仿宋_GB2312" w:eastAsia="仿宋_GB2312" w:cs="仿宋_GB2312"/>
          <w:sz w:val="32"/>
          <w:szCs w:val="32"/>
        </w:rPr>
        <w:t>月开工，20</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月一期工程建成交付湖南幼儿师范高等专科学校使用（以下简称“湖南幼专一期项目”）。</w:t>
      </w:r>
      <w:r>
        <w:rPr>
          <w:rFonts w:hint="eastAsia" w:ascii="仿宋_GB2312" w:hAnsi="仿宋_GB2312" w:eastAsia="仿宋_GB2312" w:cs="仿宋_GB2312"/>
          <w:color w:val="000000"/>
          <w:sz w:val="32"/>
          <w:szCs w:val="32"/>
        </w:rPr>
        <w:t>由于工期紧、工程体量庞大，一期工程在交付时，资产仅满足基本功能要求，部分消防工程尚未完工，没有启动消防验收和整体竣工验收。</w:t>
      </w:r>
      <w:r>
        <w:rPr>
          <w:rFonts w:hint="eastAsia" w:ascii="仿宋_GB2312" w:hAnsi="仿宋_GB2312" w:eastAsia="仿宋_GB2312" w:cs="仿宋_GB2312"/>
          <w:sz w:val="32"/>
          <w:szCs w:val="32"/>
        </w:rPr>
        <w:t>因学校属于人口密集场所，消防存在安全使用隐患，在市委市政府高度关注、重点调度下，</w:t>
      </w:r>
      <w:r>
        <w:rPr>
          <w:rFonts w:hint="eastAsia" w:ascii="仿宋_GB2312" w:hAnsi="仿宋_GB2312" w:eastAsia="仿宋_GB2312" w:cs="仿宋_GB2312"/>
          <w:color w:val="000000"/>
          <w:sz w:val="32"/>
          <w:szCs w:val="32"/>
        </w:rPr>
        <w:t>根据工作安排</w:t>
      </w:r>
      <w:r>
        <w:rPr>
          <w:rFonts w:hint="eastAsia" w:ascii="仿宋_GB2312" w:hAnsi="仿宋_GB2312" w:eastAsia="仿宋_GB2312" w:cs="仿宋_GB2312"/>
          <w:sz w:val="32"/>
          <w:szCs w:val="32"/>
        </w:rPr>
        <w:t>，由常德市智慧谷投资发展有限公司牵头落实湖南幼专一期</w:t>
      </w:r>
      <w:r>
        <w:rPr>
          <w:rFonts w:hint="eastAsia" w:ascii="仿宋_GB2312" w:hAnsi="仿宋_GB2312" w:eastAsia="仿宋_GB2312" w:cs="仿宋_GB2312"/>
          <w:color w:val="000000"/>
          <w:sz w:val="32"/>
          <w:szCs w:val="32"/>
        </w:rPr>
        <w:t>项目消防整改工作。</w:t>
      </w:r>
    </w:p>
    <w:p w14:paraId="5705A3C2">
      <w:pPr>
        <w:keepNext w:val="0"/>
        <w:keepLines w:val="0"/>
        <w:pageBreakBefore w:val="0"/>
        <w:kinsoku/>
        <w:wordWrap/>
        <w:topLinePunct w:val="0"/>
        <w:autoSpaceDE/>
        <w:autoSpaceDN/>
        <w:bidi w:val="0"/>
        <w:spacing w:line="560" w:lineRule="exact"/>
        <w:ind w:left="0" w:firstLine="643" w:firstLineChars="200"/>
        <w:textAlignment w:val="auto"/>
        <w:outlineLvl w:val="1"/>
        <w:rPr>
          <w:rFonts w:ascii="仿宋_GB2312" w:hAnsi="仿宋_GB2312" w:eastAsia="仿宋_GB2312" w:cs="仿宋_GB2312"/>
          <w:color w:val="000000"/>
          <w:sz w:val="32"/>
          <w:szCs w:val="32"/>
        </w:rPr>
      </w:pPr>
      <w:r>
        <w:rPr>
          <w:rFonts w:ascii="Times New Roman" w:hAnsi="Times New Roman" w:eastAsia="楷体_GB2312"/>
          <w:b/>
          <w:bCs/>
          <w:sz w:val="32"/>
          <w:szCs w:val="32"/>
        </w:rPr>
        <w:t>（二）项目主要内容及申报预算情况</w:t>
      </w:r>
      <w:bookmarkEnd w:id="12"/>
      <w:bookmarkEnd w:id="13"/>
      <w:bookmarkEnd w:id="14"/>
      <w:bookmarkEnd w:id="15"/>
      <w:bookmarkStart w:id="16" w:name="_Toc1890145904_WPSOffice_Level1"/>
      <w:bookmarkStart w:id="17" w:name="_Toc182692291_WPSOffice_Level1"/>
      <w:bookmarkStart w:id="18" w:name="_Toc581615128_WPSOffice_Level1"/>
      <w:bookmarkStart w:id="19" w:name="_Toc976241670_WPSOffice_Level1"/>
    </w:p>
    <w:p w14:paraId="6686E348">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 w:eastAsia="仿宋_GB2312" w:cs="仿宋"/>
          <w:sz w:val="32"/>
          <w:szCs w:val="32"/>
        </w:rPr>
      </w:pPr>
      <w:r>
        <w:rPr>
          <w:rFonts w:hint="eastAsia" w:ascii="仿宋_GB2312" w:hAnsi="仿宋_GB2312" w:eastAsia="仿宋_GB2312" w:cs="仿宋_GB2312"/>
          <w:sz w:val="32"/>
          <w:szCs w:val="32"/>
        </w:rPr>
        <w:t>湖南幼专一期</w:t>
      </w:r>
      <w:r>
        <w:rPr>
          <w:rFonts w:hint="eastAsia" w:ascii="仿宋_GB2312" w:hAnsi="仿宋_GB2312" w:eastAsia="仿宋_GB2312" w:cs="仿宋_GB2312"/>
          <w:color w:val="000000"/>
          <w:sz w:val="32"/>
          <w:szCs w:val="32"/>
        </w:rPr>
        <w:t>项目消防整改</w:t>
      </w:r>
      <w:r>
        <w:rPr>
          <w:rFonts w:hint="eastAsia" w:ascii="仿宋_GB2312" w:hAnsi="仿宋" w:eastAsia="仿宋_GB2312" w:cs="仿宋"/>
          <w:sz w:val="32"/>
          <w:szCs w:val="32"/>
        </w:rPr>
        <w:t>范围为</w:t>
      </w:r>
      <w:r>
        <w:rPr>
          <w:rFonts w:hint="eastAsia" w:ascii="仿宋_GB2312" w:hAnsi="仿宋_GB2312" w:eastAsia="仿宋_GB2312" w:cs="仿宋_GB2312"/>
          <w:color w:val="000000"/>
          <w:sz w:val="32"/>
          <w:szCs w:val="32"/>
        </w:rPr>
        <w:t>白楼、教学楼、培训楼、食堂、图书馆、实训楼、实验剧场、体育馆、行政楼、艺术楼、学生公寓、看台、锅炉房、总平布局、风雨操场</w:t>
      </w:r>
      <w:r>
        <w:rPr>
          <w:rFonts w:hint="eastAsia" w:ascii="仿宋_GB2312" w:hAnsi="仿宋" w:eastAsia="仿宋_GB2312" w:cs="仿宋"/>
          <w:sz w:val="32"/>
          <w:szCs w:val="32"/>
        </w:rPr>
        <w:t>等</w:t>
      </w:r>
      <w:r>
        <w:rPr>
          <w:rFonts w:hint="eastAsia" w:ascii="仿宋_GB2312" w:hAnsi="仿宋" w:eastAsia="仿宋_GB2312" w:cs="仿宋"/>
          <w:sz w:val="32"/>
          <w:szCs w:val="32"/>
          <w:lang w:eastAsia="zh-CN"/>
        </w:rPr>
        <w:t>需通过消防验收的区域</w:t>
      </w:r>
      <w:r>
        <w:rPr>
          <w:rFonts w:hint="eastAsia" w:ascii="仿宋_GB2312" w:hAnsi="仿宋" w:eastAsia="仿宋_GB2312" w:cs="仿宋"/>
          <w:sz w:val="32"/>
          <w:szCs w:val="32"/>
        </w:rPr>
        <w:t>。</w:t>
      </w:r>
    </w:p>
    <w:p w14:paraId="23C759C9">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消防整改具体内容</w:t>
      </w:r>
      <w:r>
        <w:rPr>
          <w:rFonts w:hint="eastAsia" w:ascii="仿宋_GB2312" w:hAnsi="仿宋_GB2312" w:eastAsia="仿宋_GB2312" w:cs="仿宋_GB2312"/>
          <w:bCs/>
          <w:sz w:val="32"/>
          <w:szCs w:val="32"/>
        </w:rPr>
        <w:t>根据消防鉴定机构出具的整改建议，由</w:t>
      </w:r>
      <w:r>
        <w:rPr>
          <w:rFonts w:hint="eastAsia" w:ascii="仿宋_GB2312" w:hAnsi="仿宋_GB2312" w:eastAsia="仿宋_GB2312" w:cs="仿宋_GB2312"/>
          <w:sz w:val="32"/>
          <w:szCs w:val="32"/>
        </w:rPr>
        <w:t>湖南幼儿师范高等专科学校</w:t>
      </w:r>
      <w:r>
        <w:rPr>
          <w:rFonts w:hint="eastAsia" w:ascii="仿宋_GB2312" w:hAnsi="仿宋" w:eastAsia="仿宋_GB2312" w:cs="仿宋"/>
          <w:sz w:val="32"/>
          <w:szCs w:val="32"/>
        </w:rPr>
        <w:t>、常德市智慧谷投资发展有限公司、湖南博联检测集团有限责任公司、常德城发项目咨询管理有限公司共同确认形成整改清单。由湖南万达项目管理有限公司编制消防整改预算。</w:t>
      </w:r>
    </w:p>
    <w:p w14:paraId="337D035B">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 w:eastAsia="仿宋_GB2312" w:cs="仿宋"/>
          <w:sz w:val="32"/>
          <w:szCs w:val="32"/>
        </w:rPr>
        <w:t>消防</w:t>
      </w:r>
      <w:r>
        <w:rPr>
          <w:rFonts w:hint="eastAsia" w:ascii="仿宋_GB2312" w:hAnsi="仿宋" w:eastAsia="仿宋_GB2312" w:cs="仿宋"/>
          <w:sz w:val="32"/>
          <w:szCs w:val="32"/>
          <w:lang w:eastAsia="zh-CN"/>
        </w:rPr>
        <w:t>整改</w:t>
      </w:r>
      <w:r>
        <w:rPr>
          <w:rFonts w:hint="eastAsia" w:ascii="仿宋_GB2312" w:hAnsi="仿宋" w:eastAsia="仿宋_GB2312" w:cs="仿宋"/>
          <w:sz w:val="32"/>
          <w:szCs w:val="32"/>
        </w:rPr>
        <w:t>预算根据学校使用损耗及改变布局产生的整改费、未完工部分整改完成费、因原施工中降质降标现需达标建设费三部分组成，分别由校方出资、原建设途径筹资、原代建方筹措进行建设资金分担，其中财政部门对校方出资及原建设途径筹资建设内容进行审核。</w:t>
      </w:r>
    </w:p>
    <w:p w14:paraId="2BB030D6">
      <w:pPr>
        <w:pStyle w:val="14"/>
        <w:keepNext w:val="0"/>
        <w:keepLines w:val="0"/>
        <w:pageBreakBefore w:val="0"/>
        <w:tabs>
          <w:tab w:val="left" w:pos="6266"/>
        </w:tabs>
        <w:kinsoku/>
        <w:wordWrap/>
        <w:topLinePunct w:val="0"/>
        <w:autoSpaceDE/>
        <w:autoSpaceDN/>
        <w:bidi w:val="0"/>
        <w:spacing w:line="560" w:lineRule="exact"/>
        <w:ind w:left="0" w:firstLine="640" w:firstLineChars="200"/>
        <w:textAlignment w:val="auto"/>
        <w:outlineLvl w:val="0"/>
        <w:rPr>
          <w:rFonts w:ascii="黑体" w:hAnsi="黑体" w:eastAsia="黑体" w:cs="黑体"/>
          <w:color w:val="000000"/>
          <w:sz w:val="32"/>
          <w:szCs w:val="32"/>
        </w:rPr>
      </w:pPr>
      <w:bookmarkStart w:id="32" w:name="_GoBack"/>
      <w:bookmarkEnd w:id="32"/>
      <w:r>
        <w:rPr>
          <w:rFonts w:hint="eastAsia" w:ascii="黑体" w:hAnsi="黑体" w:eastAsia="黑体" w:cs="黑体"/>
          <w:color w:val="000000"/>
          <w:sz w:val="32"/>
          <w:szCs w:val="32"/>
        </w:rPr>
        <w:t>二、评审依据</w:t>
      </w:r>
      <w:bookmarkEnd w:id="16"/>
      <w:bookmarkEnd w:id="17"/>
      <w:bookmarkEnd w:id="18"/>
      <w:bookmarkEnd w:id="19"/>
    </w:p>
    <w:p w14:paraId="0BAED976">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color w:val="000000"/>
          <w:kern w:val="2"/>
          <w:sz w:val="32"/>
          <w:szCs w:val="32"/>
        </w:rPr>
      </w:pPr>
      <w:bookmarkStart w:id="20" w:name="_Toc757239869_WPSOffice_Level1"/>
      <w:bookmarkStart w:id="21" w:name="_Toc1890271026_WPSOffice_Level1"/>
      <w:bookmarkStart w:id="22" w:name="_Toc1699738589_WPSOffice_Level1"/>
      <w:bookmarkStart w:id="23" w:name="_Toc913869554_WPSOffice_Level1"/>
      <w:r>
        <w:rPr>
          <w:rFonts w:hint="eastAsia" w:ascii="仿宋_GB2312" w:hAnsi="仿宋_GB2312" w:eastAsia="仿宋_GB2312" w:cs="仿宋_GB2312"/>
          <w:color w:val="000000"/>
          <w:kern w:val="2"/>
          <w:sz w:val="32"/>
          <w:szCs w:val="32"/>
        </w:rPr>
        <w:t>1. 《中华人民共和国预算法》《中华人民共和国预算法实施条例》等法律法规；</w:t>
      </w:r>
    </w:p>
    <w:p w14:paraId="58E74B0A">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color w:val="000000"/>
          <w:kern w:val="2"/>
          <w:sz w:val="32"/>
          <w:szCs w:val="32"/>
        </w:rPr>
      </w:pPr>
      <w:r>
        <w:rPr>
          <w:rFonts w:hint="eastAsia" w:ascii="仿宋_GB2312" w:hAnsi="仿宋_GB2312" w:eastAsia="仿宋_GB2312" w:cs="仿宋_GB2312"/>
          <w:color w:val="000000"/>
          <w:kern w:val="2"/>
          <w:sz w:val="32"/>
          <w:szCs w:val="32"/>
        </w:rPr>
        <w:t xml:space="preserve">2. </w:t>
      </w:r>
      <w:r>
        <w:rPr>
          <w:rFonts w:hint="eastAsia" w:ascii="仿宋_GB2312" w:hAnsi="仿宋_GB2312" w:eastAsia="仿宋_GB2312" w:cs="仿宋_GB2312"/>
          <w:sz w:val="32"/>
          <w:szCs w:val="32"/>
        </w:rPr>
        <w:t>常德市智慧谷投资发展有限公司报送的问题清单、部分图纸及预算书；</w:t>
      </w:r>
    </w:p>
    <w:p w14:paraId="16D8E4F4">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kern w:val="2"/>
          <w:sz w:val="32"/>
          <w:szCs w:val="32"/>
        </w:rPr>
        <w:t xml:space="preserve">3. </w:t>
      </w:r>
      <w:r>
        <w:rPr>
          <w:rFonts w:hint="eastAsia" w:ascii="仿宋_GB2312" w:hAnsi="仿宋" w:eastAsia="仿宋_GB2312"/>
          <w:sz w:val="32"/>
          <w:szCs w:val="22"/>
          <w:lang w:val="zh-CN"/>
        </w:rPr>
        <w:t>湖南省</w:t>
      </w:r>
      <w:r>
        <w:rPr>
          <w:rFonts w:hint="eastAsia" w:ascii="仿宋_GB2312" w:hAnsi="仿宋" w:eastAsia="仿宋_GB2312"/>
          <w:sz w:val="32"/>
          <w:szCs w:val="22"/>
        </w:rPr>
        <w:t>住房和城乡建设厅</w:t>
      </w:r>
      <w:r>
        <w:rPr>
          <w:rFonts w:hint="eastAsia" w:ascii="仿宋_GB2312" w:hAnsi="仿宋_GB2312" w:eastAsia="仿宋_GB2312" w:cs="仿宋_GB2312"/>
          <w:color w:val="000000"/>
          <w:sz w:val="32"/>
          <w:szCs w:val="32"/>
        </w:rPr>
        <w:t>《关于印发</w:t>
      </w:r>
      <w:r>
        <w:rPr>
          <w:rFonts w:hint="eastAsia" w:ascii="仿宋_GB2312" w:hAnsi="仿宋_GB2312" w:cs="仿宋_GB2312"/>
          <w:color w:val="000000"/>
          <w:sz w:val="32"/>
          <w:szCs w:val="32"/>
        </w:rPr>
        <w:t>2020</w:t>
      </w:r>
      <w:r>
        <w:rPr>
          <w:rFonts w:hint="eastAsia" w:ascii="仿宋_GB2312" w:hAnsi="仿宋_GB2312" w:eastAsia="仿宋_GB2312" w:cs="仿宋_GB2312"/>
          <w:color w:val="000000"/>
          <w:sz w:val="32"/>
          <w:szCs w:val="32"/>
        </w:rPr>
        <w:t>&lt;湖</w:t>
      </w:r>
      <w:r>
        <w:rPr>
          <w:rFonts w:hint="eastAsia" w:ascii="仿宋_GB2312" w:hAnsi="仿宋_GB2312" w:eastAsia="仿宋_GB2312" w:cs="仿宋_GB2312"/>
          <w:sz w:val="32"/>
          <w:szCs w:val="32"/>
        </w:rPr>
        <w:t>南省建设工程计价办法&gt;及&lt;湖南省建设工程消耗量标准&gt;的通知》(湘建价〔20</w:t>
      </w:r>
      <w:r>
        <w:rPr>
          <w:rFonts w:hint="eastAsia" w:ascii="仿宋_GB2312" w:hAnsi="仿宋_GB2312" w:cs="仿宋_GB2312"/>
          <w:sz w:val="32"/>
          <w:szCs w:val="32"/>
        </w:rPr>
        <w:t>20</w:t>
      </w:r>
      <w:r>
        <w:rPr>
          <w:rFonts w:hint="eastAsia" w:ascii="仿宋_GB2312" w:hAnsi="仿宋_GB2312" w:eastAsia="仿宋_GB2312" w:cs="仿宋_GB2312"/>
          <w:sz w:val="32"/>
          <w:szCs w:val="32"/>
        </w:rPr>
        <w:t>〕</w:t>
      </w:r>
      <w:r>
        <w:rPr>
          <w:rFonts w:hint="eastAsia" w:ascii="仿宋_GB2312" w:hAnsi="仿宋_GB2312" w:cs="仿宋_GB2312"/>
          <w:sz w:val="32"/>
          <w:szCs w:val="32"/>
        </w:rPr>
        <w:t>56</w:t>
      </w:r>
      <w:r>
        <w:rPr>
          <w:rFonts w:hint="eastAsia" w:ascii="仿宋_GB2312" w:hAnsi="仿宋_GB2312" w:eastAsia="仿宋_GB2312" w:cs="仿宋_GB2312"/>
          <w:sz w:val="32"/>
          <w:szCs w:val="32"/>
        </w:rPr>
        <w:t>号；</w:t>
      </w:r>
    </w:p>
    <w:p w14:paraId="31179E54">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 xml:space="preserve">4. </w:t>
      </w:r>
      <w:r>
        <w:rPr>
          <w:rFonts w:hint="eastAsia" w:ascii="仿宋_GB2312" w:hAnsi="仿宋_GB2312" w:eastAsia="仿宋_GB2312" w:cs="仿宋_GB2312"/>
          <w:sz w:val="32"/>
          <w:szCs w:val="32"/>
          <w:lang w:val="zh-CN"/>
        </w:rPr>
        <w:t>湖南省</w:t>
      </w:r>
      <w:r>
        <w:rPr>
          <w:rFonts w:hint="eastAsia" w:ascii="仿宋_GB2312" w:hAnsi="仿宋_GB2312" w:eastAsia="仿宋_GB2312" w:cs="仿宋_GB2312"/>
          <w:sz w:val="32"/>
          <w:szCs w:val="32"/>
        </w:rPr>
        <w:t>住房和城乡建设厅</w:t>
      </w:r>
      <w:r>
        <w:rPr>
          <w:rFonts w:hint="eastAsia" w:ascii="仿宋_GB2312" w:hAnsi="仿宋_GB2312" w:eastAsia="仿宋_GB2312" w:cs="仿宋_GB2312"/>
          <w:color w:val="000000"/>
          <w:sz w:val="32"/>
          <w:szCs w:val="32"/>
          <w:lang w:val="zh-CN"/>
        </w:rPr>
        <w:t>《关于调整建设工程销项税额税率</w:t>
      </w:r>
      <w:r>
        <w:rPr>
          <w:rFonts w:hint="eastAsia" w:ascii="仿宋_GB2312" w:hAnsi="仿宋_GB2312" w:eastAsia="仿宋_GB2312" w:cs="仿宋_GB2312"/>
          <w:sz w:val="32"/>
          <w:szCs w:val="32"/>
          <w:lang w:val="zh-CN"/>
        </w:rPr>
        <w:t>和材料价格综合税率计费标准的通知》(湘建价</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2019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47号)；</w:t>
      </w:r>
    </w:p>
    <w:p w14:paraId="0AE281F7">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5. 湖南省住房和城乡建设厅《关于印发〈湖南省房屋改造加固及维修工程消耗量标准〉的通知》</w:t>
      </w:r>
      <w:r>
        <w:rPr>
          <w:rFonts w:hint="eastAsia" w:ascii="仿宋_GB2312" w:hAnsi="仿宋_GB2312" w:eastAsia="仿宋_GB2312" w:cs="仿宋_GB2312"/>
          <w:sz w:val="32"/>
          <w:szCs w:val="32"/>
          <w:lang w:val="zh-CN"/>
        </w:rPr>
        <w:t>（湘建价</w:t>
      </w:r>
      <w:r>
        <w:rPr>
          <w:rFonts w:hint="eastAsia" w:ascii="仿宋_GB2312" w:hAnsi="仿宋_GB2312" w:eastAsia="仿宋_GB2312" w:cs="仿宋_GB2312"/>
          <w:sz w:val="32"/>
          <w:szCs w:val="32"/>
        </w:rPr>
        <w:t>〔2021〕238</w:t>
      </w:r>
      <w:r>
        <w:rPr>
          <w:rFonts w:hint="eastAsia" w:ascii="仿宋_GB2312" w:hAnsi="仿宋_GB2312" w:eastAsia="仿宋_GB2312" w:cs="仿宋_GB2312"/>
          <w:sz w:val="32"/>
          <w:szCs w:val="32"/>
          <w:lang w:val="zh-CN"/>
        </w:rPr>
        <w:t>号）；</w:t>
      </w:r>
    </w:p>
    <w:p w14:paraId="4B80DC34">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 w:eastAsia="仿宋_GB2312"/>
          <w:sz w:val="32"/>
          <w:szCs w:val="22"/>
          <w:lang w:val="zh-CN"/>
        </w:rPr>
      </w:pPr>
      <w:r>
        <w:rPr>
          <w:rFonts w:hint="eastAsia" w:ascii="仿宋_GB2312" w:hAnsi="仿宋_GB2312" w:eastAsia="仿宋_GB2312" w:cs="仿宋_GB2312"/>
          <w:sz w:val="32"/>
          <w:szCs w:val="32"/>
        </w:rPr>
        <w:t xml:space="preserve">6. </w:t>
      </w:r>
      <w:r>
        <w:rPr>
          <w:rFonts w:hint="eastAsia" w:ascii="仿宋_GB2312" w:hAnsi="仿宋" w:eastAsia="仿宋_GB2312"/>
          <w:sz w:val="32"/>
          <w:szCs w:val="22"/>
          <w:lang w:val="zh-CN"/>
        </w:rPr>
        <w:t>湖南省住房和城乡建设厅《关于发布〈湖南省建设工程计价依据动态调整汇编（2022年度第一期）〉的通知》(湘建价〔2022〕146号)；</w:t>
      </w:r>
    </w:p>
    <w:p w14:paraId="186C492D">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 湖南省建设工程造价管理总站《关于发布2024年湖南省建设工程人工费指数的通知》（湘建价建〔2024〕20号）；</w:t>
      </w:r>
    </w:p>
    <w:p w14:paraId="6F623285">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 常德市建设工程造价管理站《关于公布常德市二○二五年第一期安装工程材料市场综合价的通知》（常建价〔2025〕8号）；</w:t>
      </w:r>
    </w:p>
    <w:p w14:paraId="434D4247">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 常德市建设工程造价管理站《关于公布常德市二○二五年第十期建设工程材料市场综合价的通知》（常建价〔2025〕14号）及市场价格；</w:t>
      </w:r>
    </w:p>
    <w:p w14:paraId="24912BD6">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 常德市财政局投资评审中心《市本级政府性投资项目审核（审计）标准操作规范（第一至第三期）修改及补充汇编版》；</w:t>
      </w:r>
    </w:p>
    <w:p w14:paraId="3EFB529E">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lang w:val="zh-CN"/>
        </w:rPr>
      </w:pPr>
      <w:r>
        <w:rPr>
          <w:rFonts w:hint="eastAsia" w:ascii="仿宋_GB2312" w:hAnsi="仿宋_GB2312" w:eastAsia="仿宋_GB2312" w:cs="仿宋_GB2312"/>
          <w:sz w:val="32"/>
          <w:szCs w:val="32"/>
        </w:rPr>
        <w:t>11. 现行有关标准图集及强制性规范要求</w:t>
      </w:r>
      <w:r>
        <w:rPr>
          <w:rFonts w:hint="eastAsia" w:ascii="仿宋_GB2312" w:hAnsi="仿宋_GB2312" w:eastAsia="仿宋_GB2312" w:cs="仿宋_GB2312"/>
          <w:sz w:val="32"/>
          <w:szCs w:val="32"/>
          <w:lang w:val="zh-CN"/>
        </w:rPr>
        <w:t>；</w:t>
      </w:r>
    </w:p>
    <w:p w14:paraId="0238E598">
      <w:pPr>
        <w:pStyle w:val="19"/>
        <w:keepNext w:val="0"/>
        <w:keepLines w:val="0"/>
        <w:pageBreakBefore w:val="0"/>
        <w:widowControl/>
        <w:kinsoku/>
        <w:wordWrap/>
        <w:topLinePunct w:val="0"/>
        <w:autoSpaceDE/>
        <w:autoSpaceDN/>
        <w:bidi w:val="0"/>
        <w:spacing w:before="0" w:beforeAutospacing="0" w:after="0" w:afterAutospacing="0"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12. 现场踏勘了解的情况。</w:t>
      </w:r>
    </w:p>
    <w:p w14:paraId="3D6A8256">
      <w:pPr>
        <w:pStyle w:val="14"/>
        <w:keepNext w:val="0"/>
        <w:keepLines w:val="0"/>
        <w:pageBreakBefore w:val="0"/>
        <w:tabs>
          <w:tab w:val="left" w:pos="6266"/>
        </w:tabs>
        <w:kinsoku/>
        <w:wordWrap/>
        <w:topLinePunct w:val="0"/>
        <w:autoSpaceDE/>
        <w:autoSpaceDN/>
        <w:bidi w:val="0"/>
        <w:spacing w:line="560" w:lineRule="exact"/>
        <w:ind w:left="0" w:firstLine="640" w:firstLineChars="200"/>
        <w:textAlignment w:val="auto"/>
        <w:outlineLvl w:val="0"/>
        <w:rPr>
          <w:rFonts w:ascii="黑体" w:hAnsi="黑体" w:eastAsia="黑体" w:cs="黑体"/>
          <w:color w:val="000000"/>
          <w:sz w:val="32"/>
          <w:szCs w:val="32"/>
        </w:rPr>
      </w:pPr>
      <w:r>
        <w:rPr>
          <w:rFonts w:hint="eastAsia" w:ascii="黑体" w:hAnsi="黑体" w:eastAsia="黑体" w:cs="黑体"/>
          <w:color w:val="000000"/>
          <w:sz w:val="32"/>
          <w:szCs w:val="32"/>
        </w:rPr>
        <w:t>三、评审结论</w:t>
      </w:r>
      <w:bookmarkEnd w:id="20"/>
      <w:bookmarkEnd w:id="21"/>
      <w:bookmarkEnd w:id="22"/>
      <w:bookmarkEnd w:id="23"/>
    </w:p>
    <w:p w14:paraId="41C0023C">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bookmarkStart w:id="24" w:name="_Toc1954155083_WPSOffice_Level1"/>
      <w:bookmarkStart w:id="25" w:name="_Toc1156470918_WPSOffice_Level1"/>
      <w:bookmarkStart w:id="26" w:name="_Toc308870453_WPSOffice_Level1"/>
      <w:bookmarkStart w:id="27" w:name="_Toc545252939_WPSOffice_Level1"/>
      <w:r>
        <w:rPr>
          <w:rFonts w:hint="eastAsia" w:ascii="仿宋_GB2312" w:hAnsi="仿宋_GB2312" w:eastAsia="仿宋_GB2312" w:cs="仿宋_GB2312"/>
          <w:color w:val="000000"/>
          <w:sz w:val="32"/>
          <w:szCs w:val="32"/>
        </w:rPr>
        <w:t>该工程施工图预算送审金额为1</w:t>
      </w:r>
      <w:r>
        <w:rPr>
          <w:rFonts w:ascii="仿宋_GB2312" w:hAnsi="仿宋_GB2312" w:eastAsia="仿宋_GB2312" w:cs="仿宋_GB2312"/>
          <w:color w:val="000000"/>
          <w:sz w:val="32"/>
          <w:szCs w:val="32"/>
        </w:rPr>
        <w:t>1510821</w:t>
      </w:r>
      <w:r>
        <w:rPr>
          <w:rFonts w:hint="eastAsia" w:ascii="仿宋_GB2312" w:hAnsi="仿宋_GB2312" w:eastAsia="仿宋_GB2312" w:cs="仿宋_GB2312"/>
          <w:color w:val="000000"/>
          <w:sz w:val="32"/>
          <w:szCs w:val="32"/>
        </w:rPr>
        <w:t>元，审定金额为</w:t>
      </w:r>
      <w:r>
        <w:rPr>
          <w:rFonts w:ascii="仿宋_GB2312" w:hAnsi="仿宋_GB2312" w:eastAsia="仿宋_GB2312" w:cs="仿宋_GB2312"/>
          <w:color w:val="000000"/>
          <w:sz w:val="32"/>
          <w:szCs w:val="32"/>
        </w:rPr>
        <w:t>9983706</w:t>
      </w:r>
      <w:r>
        <w:rPr>
          <w:rFonts w:hint="eastAsia" w:ascii="仿宋_GB2312" w:hAnsi="仿宋_GB2312" w:eastAsia="仿宋_GB2312" w:cs="仿宋_GB2312"/>
          <w:color w:val="000000"/>
          <w:sz w:val="32"/>
          <w:szCs w:val="32"/>
        </w:rPr>
        <w:t>元，审减金额为</w:t>
      </w:r>
      <w:r>
        <w:rPr>
          <w:rFonts w:ascii="仿宋_GB2312" w:hAnsi="仿宋_GB2312" w:eastAsia="仿宋_GB2312" w:cs="仿宋_GB2312"/>
          <w:color w:val="000000"/>
          <w:sz w:val="32"/>
          <w:szCs w:val="32"/>
        </w:rPr>
        <w:t>1527115</w:t>
      </w:r>
      <w:r>
        <w:rPr>
          <w:rFonts w:hint="eastAsia" w:ascii="仿宋_GB2312" w:hAnsi="仿宋_GB2312" w:eastAsia="仿宋_GB2312" w:cs="仿宋_GB2312"/>
          <w:color w:val="000000"/>
          <w:sz w:val="32"/>
          <w:szCs w:val="32"/>
        </w:rPr>
        <w:t>元。审减主要原因如下：</w:t>
      </w:r>
    </w:p>
    <w:p w14:paraId="4DB7A899">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消防管沟槽管件、阀门、喷头、消防栓、气体灭火装置、消防应急灯、感烟探测器、输入输出模块、桥架盖板、防火堵料等主材价格偏高；</w:t>
      </w:r>
    </w:p>
    <w:p w14:paraId="19CBCCF4">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rPr>
        <w:t xml:space="preserve"> 安装与生产同时进行措施费多计；</w:t>
      </w:r>
    </w:p>
    <w:p w14:paraId="3A8263A3">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硅酸钙板、石膏板、地面保护垫、P</w:t>
      </w:r>
      <w:r>
        <w:rPr>
          <w:rFonts w:ascii="仿宋_GB2312" w:hAnsi="仿宋_GB2312" w:eastAsia="仿宋_GB2312" w:cs="仿宋_GB2312"/>
          <w:color w:val="000000"/>
          <w:sz w:val="32"/>
          <w:szCs w:val="32"/>
        </w:rPr>
        <w:t>E</w:t>
      </w:r>
      <w:r>
        <w:rPr>
          <w:rFonts w:hint="eastAsia" w:ascii="仿宋_GB2312" w:hAnsi="仿宋_GB2312" w:eastAsia="仿宋_GB2312" w:cs="仿宋_GB2312"/>
          <w:color w:val="000000"/>
          <w:sz w:val="32"/>
          <w:szCs w:val="32"/>
        </w:rPr>
        <w:t>透明薄膜材料价偏高；</w:t>
      </w:r>
    </w:p>
    <w:p w14:paraId="5A88D344">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黑体" w:hAnsi="黑体" w:eastAsia="黑体" w:cs="黑体"/>
          <w:sz w:val="32"/>
          <w:szCs w:val="32"/>
        </w:rPr>
        <w:t>四、存在的问题及建议</w:t>
      </w:r>
    </w:p>
    <w:bookmarkEnd w:id="24"/>
    <w:bookmarkEnd w:id="25"/>
    <w:bookmarkEnd w:id="26"/>
    <w:bookmarkEnd w:id="27"/>
    <w:p w14:paraId="73B86388">
      <w:pPr>
        <w:keepNext w:val="0"/>
        <w:keepLines w:val="0"/>
        <w:pageBreakBefore w:val="0"/>
        <w:kinsoku/>
        <w:wordWrap/>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bookmarkStart w:id="28" w:name="_Toc1244274959_WPSOffice_Level1"/>
      <w:bookmarkStart w:id="29" w:name="_Toc669635750_WPSOffice_Level1"/>
      <w:bookmarkStart w:id="30" w:name="_Toc391484743_WPSOffice_Level1"/>
      <w:bookmarkStart w:id="31" w:name="_Toc340961487_WPSOffice_Level1"/>
      <w:r>
        <w:rPr>
          <w:rFonts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该项目未完工部分按建设单位报送的整改施工图评审，校方改变布局和校方使用损耗由于无设计，以湖南师范幼儿高等专科学校消防问题整改建议为评审依据，工程量无法计算部分，以暂列形式计入预算，主要设备（如户外一体化发电机组、厨自灭设备、消防水炮等）无详细参数及规格，评审时按中等偏上品牌设备价格以暂估价形式计入预算，请建设单位在施工过程中暂列部分工程量按实签证，对暂估设备的档次进行把控，并对暂估价进行确认；</w:t>
      </w:r>
    </w:p>
    <w:p w14:paraId="03CF4163">
      <w:pPr>
        <w:keepNext w:val="0"/>
        <w:keepLines w:val="0"/>
        <w:pageBreakBefore w:val="0"/>
        <w:kinsoku/>
        <w:wordWrap/>
        <w:overflowPunct w:val="0"/>
        <w:topLinePunct w:val="0"/>
        <w:autoSpaceDE/>
        <w:autoSpaceDN/>
        <w:bidi w:val="0"/>
        <w:spacing w:line="560" w:lineRule="exact"/>
        <w:ind w:left="0"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 xml:space="preserve"> 措施费是指人工二次搬运、登高车、吊车等实际会发生而现在无法预估工程量的相关费用，考虑到不可预见费有限，按工程费的3%暂列一项计入预算，</w:t>
      </w:r>
      <w:r>
        <w:rPr>
          <w:rFonts w:hint="eastAsia" w:ascii="仿宋_GB2312" w:hAnsi="黑体" w:eastAsia="仿宋_GB2312" w:cs="仿宋_GB2312"/>
          <w:sz w:val="32"/>
          <w:szCs w:val="32"/>
        </w:rPr>
        <w:t>由建设单位自主管理，根据施工过程中实际发生费用按实签证；</w:t>
      </w:r>
      <w:r>
        <w:rPr>
          <w:rFonts w:ascii="仿宋_GB2312" w:hAnsi="仿宋_GB2312" w:eastAsia="仿宋_GB2312" w:cs="仿宋_GB2312"/>
          <w:color w:val="000000"/>
          <w:sz w:val="32"/>
          <w:szCs w:val="32"/>
        </w:rPr>
        <w:t xml:space="preserve"> </w:t>
      </w:r>
    </w:p>
    <w:p w14:paraId="410C1283">
      <w:pPr>
        <w:keepNext w:val="0"/>
        <w:keepLines w:val="0"/>
        <w:pageBreakBefore w:val="0"/>
        <w:kinsoku/>
        <w:wordWrap/>
        <w:overflowPunct w:val="0"/>
        <w:topLinePunct w:val="0"/>
        <w:autoSpaceDE/>
        <w:autoSpaceDN/>
        <w:bidi w:val="0"/>
        <w:spacing w:line="560" w:lineRule="exact"/>
        <w:ind w:left="0" w:firstLine="640" w:firstLineChars="200"/>
        <w:textAlignment w:val="auto"/>
        <w:rPr>
          <w:rFonts w:ascii="仿宋_GB2312" w:hAnsi="黑体" w:eastAsia="仿宋_GB2312" w:cs="仿宋_GB2312"/>
          <w:sz w:val="32"/>
          <w:szCs w:val="32"/>
        </w:rPr>
      </w:pPr>
      <w:r>
        <w:rPr>
          <w:rFonts w:hint="eastAsia" w:ascii="仿宋_GB2312" w:hAnsi="仿宋_GB2312" w:eastAsia="仿宋_GB2312" w:cs="仿宋_GB2312"/>
          <w:color w:val="000000"/>
          <w:sz w:val="32"/>
          <w:szCs w:val="32"/>
        </w:rPr>
        <w:t>3</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供水管网渗漏检测和供水管网走向探测不属于工程费，为更好的完成消防整改工作，实现消防验收合格的目标，建议建设单位选择有资质的专业检测公司</w:t>
      </w:r>
      <w:r>
        <w:rPr>
          <w:rFonts w:hint="eastAsia" w:ascii="仿宋_GB2312" w:hAnsi="黑体" w:eastAsia="仿宋_GB2312" w:cs="仿宋_GB2312"/>
          <w:sz w:val="32"/>
          <w:szCs w:val="32"/>
        </w:rPr>
        <w:t>完成检测工作。</w:t>
      </w:r>
    </w:p>
    <w:p w14:paraId="6D242709">
      <w:pPr>
        <w:pStyle w:val="14"/>
        <w:keepNext w:val="0"/>
        <w:keepLines w:val="0"/>
        <w:pageBreakBefore w:val="0"/>
        <w:tabs>
          <w:tab w:val="left" w:pos="6266"/>
        </w:tabs>
        <w:kinsoku/>
        <w:wordWrap/>
        <w:topLinePunct w:val="0"/>
        <w:autoSpaceDE/>
        <w:autoSpaceDN/>
        <w:bidi w:val="0"/>
        <w:spacing w:line="560" w:lineRule="exact"/>
        <w:ind w:left="0" w:firstLine="640" w:firstLineChars="200"/>
        <w:textAlignment w:val="auto"/>
        <w:outlineLvl w:val="0"/>
        <w:rPr>
          <w:rFonts w:ascii="黑体" w:hAnsi="黑体" w:eastAsia="黑体" w:cs="黑体"/>
          <w:color w:val="000000"/>
          <w:sz w:val="32"/>
          <w:szCs w:val="32"/>
        </w:rPr>
      </w:pPr>
      <w:r>
        <w:rPr>
          <w:rFonts w:hint="eastAsia" w:ascii="黑体" w:hAnsi="黑体" w:eastAsia="黑体" w:cs="黑体"/>
          <w:color w:val="000000"/>
          <w:sz w:val="32"/>
          <w:szCs w:val="32"/>
        </w:rPr>
        <w:t>五、有关事项说明</w:t>
      </w:r>
      <w:bookmarkEnd w:id="28"/>
      <w:bookmarkEnd w:id="29"/>
      <w:bookmarkEnd w:id="30"/>
      <w:bookmarkEnd w:id="31"/>
    </w:p>
    <w:p w14:paraId="19209ED4">
      <w:pPr>
        <w:pStyle w:val="2"/>
        <w:keepNext w:val="0"/>
        <w:keepLines w:val="0"/>
        <w:pageBreakBefore w:val="0"/>
        <w:kinsoku/>
        <w:wordWrap/>
        <w:topLinePunct w:val="0"/>
        <w:autoSpaceDE/>
        <w:autoSpaceDN/>
        <w:bidi w:val="0"/>
        <w:spacing w:line="560" w:lineRule="exact"/>
        <w:ind w:left="0" w:firstLine="664" w:firstLineChars="200"/>
        <w:textAlignment w:val="auto"/>
      </w:pPr>
      <w:r>
        <w:rPr>
          <w:rFonts w:hint="eastAsia" w:ascii="仿宋_GB2312" w:hAnsi="仿宋_GB2312" w:eastAsia="仿宋_GB2312" w:cs="仿宋_GB2312"/>
          <w:bCs/>
          <w:sz w:val="32"/>
          <w:szCs w:val="32"/>
        </w:rPr>
        <w:t>1． 由于本次消防整改根据资金渠道划分为三块，实际施工时也应严格按此划分原则履行签证、确认、区分管理责任，防止费用混淆产生结算纠纷；</w:t>
      </w:r>
    </w:p>
    <w:p w14:paraId="60D987BC">
      <w:pPr>
        <w:keepNext w:val="0"/>
        <w:keepLines w:val="0"/>
        <w:pageBreakBefore w:val="0"/>
        <w:kinsoku/>
        <w:wordWrap/>
        <w:topLinePunct w:val="0"/>
        <w:autoSpaceDE/>
        <w:autoSpaceDN/>
        <w:bidi w:val="0"/>
        <w:adjustRightInd w:val="0"/>
        <w:snapToGrid w:val="0"/>
        <w:spacing w:line="56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sz w:val="32"/>
          <w:szCs w:val="32"/>
        </w:rPr>
        <w:t>． 本</w:t>
      </w:r>
      <w:r>
        <w:rPr>
          <w:rFonts w:hint="eastAsia" w:ascii="Times New Roman" w:hAnsi="Times New Roman" w:eastAsia="仿宋_GB2312"/>
          <w:sz w:val="32"/>
          <w:szCs w:val="32"/>
        </w:rPr>
        <w:t>评审结果是消防整改建安工程费财政预算控制上限，作为预算执行的重要依据，</w:t>
      </w:r>
      <w:r>
        <w:rPr>
          <w:rFonts w:hint="eastAsia" w:ascii="仿宋_GB2312" w:hAnsi="仿宋_GB2312" w:eastAsia="仿宋_GB2312" w:cs="仿宋_GB2312"/>
          <w:sz w:val="32"/>
          <w:szCs w:val="32"/>
        </w:rPr>
        <w:t>不作为招投标、政府采购、结算和决算的依据</w:t>
      </w:r>
      <w:r>
        <w:rPr>
          <w:rFonts w:hint="eastAsia" w:ascii="仿宋_GB2312" w:hAnsi="仿宋_GB2312" w:eastAsia="仿宋_GB2312" w:cs="仿宋_GB2312"/>
          <w:color w:val="000000"/>
          <w:sz w:val="32"/>
          <w:szCs w:val="32"/>
        </w:rPr>
        <w:t>。请</w:t>
      </w:r>
      <w:r>
        <w:rPr>
          <w:rFonts w:hint="eastAsia" w:ascii="Times New Roman" w:hAnsi="Times New Roman" w:eastAsia="仿宋_GB2312"/>
          <w:sz w:val="32"/>
          <w:szCs w:val="32"/>
        </w:rPr>
        <w:t>根据预算执行评审结果调整预算安排并指导相关部门严控预算执行，督促</w:t>
      </w:r>
      <w:r>
        <w:rPr>
          <w:rFonts w:hint="eastAsia" w:ascii="仿宋_GB2312" w:hAnsi="仿宋_GB2312" w:eastAsia="仿宋_GB2312" w:cs="仿宋_GB2312"/>
          <w:color w:val="000000"/>
          <w:sz w:val="32"/>
          <w:szCs w:val="32"/>
        </w:rPr>
        <w:t>项目单位严格遵守各项法律法规、财经纪律和财务管理制度。资金管理科室对预算评审类型和报告使用负责；</w:t>
      </w:r>
    </w:p>
    <w:p w14:paraId="14D37A5E">
      <w:pPr>
        <w:keepNext w:val="0"/>
        <w:keepLines w:val="0"/>
        <w:pageBreakBefore w:val="0"/>
        <w:kinsoku/>
        <w:wordWrap/>
        <w:topLinePunct w:val="0"/>
        <w:autoSpaceDE/>
        <w:autoSpaceDN/>
        <w:bidi w:val="0"/>
        <w:adjustRightInd w:val="0"/>
        <w:snapToGrid w:val="0"/>
        <w:spacing w:line="56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3. </w:t>
      </w:r>
      <w:r>
        <w:rPr>
          <w:rFonts w:hint="eastAsia" w:ascii="仿宋_GB2312" w:hAnsi="仿宋_GB2312" w:eastAsia="仿宋_GB2312" w:cs="仿宋_GB2312"/>
          <w:sz w:val="32"/>
          <w:szCs w:val="32"/>
        </w:rPr>
        <w:t>预算控制上限依据项目单位提供的设计图纸、施工方案，参照相关法律法规、行业规范标准及市场询价结果出具。若因送审资料完整性不足、准确性欠缺等情形导致的偏差，相关责任由项目单位自行承担。</w:t>
      </w:r>
    </w:p>
    <w:p w14:paraId="2445BB38">
      <w:pPr>
        <w:pStyle w:val="2"/>
        <w:rPr>
          <w:rFonts w:ascii="仿宋_GB2312" w:hAnsi="仿宋_GB2312" w:eastAsia="仿宋_GB2312" w:cs="仿宋_GB2312"/>
          <w:sz w:val="32"/>
          <w:szCs w:val="32"/>
        </w:rPr>
      </w:pPr>
    </w:p>
    <w:p w14:paraId="22C7945A">
      <w:pPr>
        <w:overflowPunct w:val="0"/>
        <w:ind w:firstLine="640" w:firstLineChars="20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常德市财政局投资评审中心</w:t>
      </w:r>
    </w:p>
    <w:p w14:paraId="18B7E20A">
      <w:pPr>
        <w:pStyle w:val="2"/>
        <w:wordWrap w:val="0"/>
        <w:spacing w:line="600" w:lineRule="exact"/>
        <w:ind w:left="5460" w:right="332" w:hanging="73"/>
        <w:jc w:val="right"/>
        <w:rPr>
          <w:rFonts w:ascii="仿宋_GB2312" w:eastAsia="仿宋_GB2312"/>
          <w:sz w:val="32"/>
          <w:szCs w:val="32"/>
        </w:rPr>
      </w:pPr>
      <w:r>
        <w:rPr>
          <w:rFonts w:hint="eastAsia" w:ascii="仿宋_GB2312" w:hAnsi="仿宋_GB2312" w:eastAsia="仿宋_GB2312" w:cs="仿宋_GB2312"/>
          <w:color w:val="000000"/>
          <w:sz w:val="32"/>
          <w:szCs w:val="32"/>
        </w:rPr>
        <w:t>2025年12月1</w:t>
      </w:r>
      <w:r>
        <w:rPr>
          <w:rFonts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rPr>
        <w:t>日</w:t>
      </w:r>
    </w:p>
    <w:p w14:paraId="3906A757">
      <w:pPr>
        <w:widowControl/>
        <w:jc w:val="left"/>
        <w:rPr>
          <w:rFonts w:ascii="仿宋_GB2312" w:eastAsia="仿宋_GB2312"/>
          <w:sz w:val="32"/>
          <w:szCs w:val="32"/>
        </w:rPr>
      </w:pPr>
      <w:r>
        <w:rPr>
          <w:rFonts w:hint="eastAsia" w:ascii="仿宋_GB2312" w:eastAsia="仿宋_GB2312"/>
          <w:sz w:val="32"/>
          <w:szCs w:val="32"/>
        </w:rPr>
        <w:t>附表</w:t>
      </w:r>
    </w:p>
    <w:tbl>
      <w:tblPr>
        <w:tblStyle w:val="21"/>
        <w:tblW w:w="8853" w:type="dxa"/>
        <w:jc w:val="center"/>
        <w:tblLayout w:type="fixed"/>
        <w:tblCellMar>
          <w:top w:w="0" w:type="dxa"/>
          <w:left w:w="108" w:type="dxa"/>
          <w:bottom w:w="0" w:type="dxa"/>
          <w:right w:w="108" w:type="dxa"/>
        </w:tblCellMar>
      </w:tblPr>
      <w:tblGrid>
        <w:gridCol w:w="1043"/>
        <w:gridCol w:w="2127"/>
        <w:gridCol w:w="1417"/>
        <w:gridCol w:w="1276"/>
        <w:gridCol w:w="1076"/>
        <w:gridCol w:w="200"/>
        <w:gridCol w:w="1702"/>
        <w:gridCol w:w="12"/>
      </w:tblGrid>
      <w:tr w14:paraId="1E6EB974">
        <w:tblPrEx>
          <w:tblCellMar>
            <w:top w:w="0" w:type="dxa"/>
            <w:left w:w="108" w:type="dxa"/>
            <w:bottom w:w="0" w:type="dxa"/>
            <w:right w:w="108" w:type="dxa"/>
          </w:tblCellMar>
        </w:tblPrEx>
        <w:trPr>
          <w:gridAfter w:val="1"/>
          <w:wAfter w:w="12" w:type="dxa"/>
          <w:trHeight w:val="780" w:hRule="atLeast"/>
          <w:jc w:val="center"/>
        </w:trPr>
        <w:tc>
          <w:tcPr>
            <w:tcW w:w="8841" w:type="dxa"/>
            <w:gridSpan w:val="7"/>
            <w:tcBorders>
              <w:top w:val="nil"/>
              <w:left w:val="nil"/>
              <w:bottom w:val="nil"/>
              <w:right w:val="nil"/>
            </w:tcBorders>
            <w:noWrap/>
            <w:vAlign w:val="center"/>
          </w:tcPr>
          <w:p w14:paraId="07CEAA7A">
            <w:pPr>
              <w:pStyle w:val="12"/>
              <w:spacing w:line="600" w:lineRule="exact"/>
              <w:jc w:val="center"/>
              <w:outlineLvl w:val="0"/>
              <w:rPr>
                <w:rFonts w:ascii="宋体" w:hAnsi="宋体" w:cs="宋体"/>
                <w:kern w:val="0"/>
                <w:sz w:val="44"/>
                <w:szCs w:val="44"/>
                <w:lang w:eastAsia="zh-CN"/>
              </w:rPr>
            </w:pPr>
            <w:r>
              <w:rPr>
                <w:rFonts w:hint="eastAsia" w:ascii="宋体" w:hAnsi="宋体" w:eastAsia="宋体" w:cs="宋体"/>
                <w:color w:val="000000"/>
                <w:sz w:val="44"/>
                <w:lang w:eastAsia="zh-CN"/>
              </w:rPr>
              <w:t>常德师范学校和桃源师范学校合并搬迁新建项目消防整改工程预算执行评审汇总表</w:t>
            </w:r>
          </w:p>
        </w:tc>
      </w:tr>
      <w:tr w14:paraId="327824D3">
        <w:tblPrEx>
          <w:tblCellMar>
            <w:top w:w="0" w:type="dxa"/>
            <w:left w:w="108" w:type="dxa"/>
            <w:bottom w:w="0" w:type="dxa"/>
            <w:right w:w="108" w:type="dxa"/>
          </w:tblCellMar>
        </w:tblPrEx>
        <w:trPr>
          <w:gridAfter w:val="1"/>
          <w:wAfter w:w="12" w:type="dxa"/>
          <w:trHeight w:val="567" w:hRule="exact"/>
          <w:jc w:val="center"/>
        </w:trPr>
        <w:tc>
          <w:tcPr>
            <w:tcW w:w="6939" w:type="dxa"/>
            <w:gridSpan w:val="5"/>
            <w:tcBorders>
              <w:top w:val="nil"/>
              <w:left w:val="nil"/>
              <w:bottom w:val="nil"/>
              <w:right w:val="nil"/>
            </w:tcBorders>
            <w:noWrap/>
            <w:vAlign w:val="center"/>
          </w:tcPr>
          <w:p w14:paraId="18CD5449">
            <w:pPr>
              <w:jc w:val="left"/>
              <w:rPr>
                <w:rFonts w:ascii="仿宋_GB2312" w:hAnsi="仿宋_GB2312" w:eastAsia="仿宋_GB2312" w:cs="仿宋_GB2312"/>
                <w:sz w:val="28"/>
                <w:szCs w:val="28"/>
                <w:u w:val="single"/>
              </w:rPr>
            </w:pPr>
          </w:p>
        </w:tc>
        <w:tc>
          <w:tcPr>
            <w:tcW w:w="1902" w:type="dxa"/>
            <w:gridSpan w:val="2"/>
            <w:tcBorders>
              <w:top w:val="nil"/>
              <w:left w:val="nil"/>
              <w:bottom w:val="nil"/>
              <w:right w:val="nil"/>
            </w:tcBorders>
            <w:vAlign w:val="center"/>
          </w:tcPr>
          <w:p w14:paraId="18273064">
            <w:pPr>
              <w:widowControl/>
              <w:jc w:val="right"/>
              <w:rPr>
                <w:rFonts w:ascii="仿宋_GB2312" w:hAnsi="仿宋_GB2312" w:eastAsia="仿宋_GB2312" w:cs="仿宋_GB2312"/>
                <w:kern w:val="0"/>
                <w:sz w:val="28"/>
                <w:szCs w:val="28"/>
              </w:rPr>
            </w:pPr>
            <w:r>
              <w:rPr>
                <w:rFonts w:hint="eastAsia" w:ascii="仿宋_GB2312" w:hAnsi="仿宋_GB2312" w:eastAsia="仿宋_GB2312" w:cs="仿宋_GB2312"/>
                <w:kern w:val="0"/>
                <w:sz w:val="24"/>
                <w:szCs w:val="24"/>
              </w:rPr>
              <w:t>金额单位：元</w:t>
            </w:r>
          </w:p>
        </w:tc>
      </w:tr>
      <w:tr w14:paraId="19B59D28">
        <w:tblPrEx>
          <w:tblCellMar>
            <w:top w:w="15" w:type="dxa"/>
            <w:left w:w="15" w:type="dxa"/>
            <w:bottom w:w="15" w:type="dxa"/>
            <w:right w:w="15" w:type="dxa"/>
          </w:tblCellMar>
        </w:tblPrEx>
        <w:trPr>
          <w:trHeight w:val="567" w:hRule="exact"/>
          <w:jc w:val="center"/>
        </w:trPr>
        <w:tc>
          <w:tcPr>
            <w:tcW w:w="1043" w:type="dxa"/>
            <w:tcBorders>
              <w:top w:val="single" w:color="000000" w:sz="4" w:space="0"/>
              <w:left w:val="single" w:color="000000" w:sz="4" w:space="0"/>
              <w:bottom w:val="single" w:color="000000" w:sz="4" w:space="0"/>
              <w:right w:val="single" w:color="000000" w:sz="4" w:space="0"/>
            </w:tcBorders>
            <w:vAlign w:val="center"/>
          </w:tcPr>
          <w:p w14:paraId="46298AD8">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序号</w:t>
            </w:r>
          </w:p>
        </w:tc>
        <w:tc>
          <w:tcPr>
            <w:tcW w:w="2127" w:type="dxa"/>
            <w:tcBorders>
              <w:top w:val="single" w:color="000000" w:sz="4" w:space="0"/>
              <w:left w:val="single" w:color="000000" w:sz="4" w:space="0"/>
              <w:bottom w:val="single" w:color="000000" w:sz="4" w:space="0"/>
              <w:right w:val="single" w:color="000000" w:sz="4" w:space="0"/>
            </w:tcBorders>
            <w:vAlign w:val="center"/>
          </w:tcPr>
          <w:p w14:paraId="42C0524A">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评审内容</w:t>
            </w:r>
          </w:p>
        </w:tc>
        <w:tc>
          <w:tcPr>
            <w:tcW w:w="1417" w:type="dxa"/>
            <w:tcBorders>
              <w:top w:val="single" w:color="000000" w:sz="4" w:space="0"/>
              <w:left w:val="single" w:color="000000" w:sz="4" w:space="0"/>
              <w:bottom w:val="single" w:color="000000" w:sz="4" w:space="0"/>
              <w:right w:val="single" w:color="000000" w:sz="4" w:space="0"/>
            </w:tcBorders>
            <w:vAlign w:val="center"/>
          </w:tcPr>
          <w:p w14:paraId="6721C835">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送审金额</w:t>
            </w:r>
          </w:p>
        </w:tc>
        <w:tc>
          <w:tcPr>
            <w:tcW w:w="1276" w:type="dxa"/>
            <w:tcBorders>
              <w:top w:val="single" w:color="000000" w:sz="4" w:space="0"/>
              <w:left w:val="single" w:color="000000" w:sz="4" w:space="0"/>
              <w:bottom w:val="single" w:color="000000" w:sz="4" w:space="0"/>
              <w:right w:val="single" w:color="000000" w:sz="4" w:space="0"/>
            </w:tcBorders>
            <w:vAlign w:val="center"/>
          </w:tcPr>
          <w:p w14:paraId="160A859A">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审定金额</w:t>
            </w: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14:paraId="2CB43173">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审减金额</w:t>
            </w:r>
          </w:p>
        </w:tc>
        <w:tc>
          <w:tcPr>
            <w:tcW w:w="1714" w:type="dxa"/>
            <w:gridSpan w:val="2"/>
            <w:tcBorders>
              <w:top w:val="single" w:color="000000" w:sz="4" w:space="0"/>
              <w:left w:val="single" w:color="000000" w:sz="4" w:space="0"/>
              <w:bottom w:val="single" w:color="000000" w:sz="4" w:space="0"/>
              <w:right w:val="single" w:color="000000" w:sz="4" w:space="0"/>
            </w:tcBorders>
            <w:vAlign w:val="center"/>
          </w:tcPr>
          <w:p w14:paraId="17D9CDB7">
            <w:pPr>
              <w:widowControl/>
              <w:spacing w:line="240" w:lineRule="exact"/>
              <w:jc w:val="center"/>
              <w:rPr>
                <w:rFonts w:hint="eastAsia"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备  注</w:t>
            </w:r>
          </w:p>
        </w:tc>
      </w:tr>
      <w:tr w14:paraId="113D9217">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675AB96E">
            <w:pPr>
              <w:widowControl/>
              <w:jc w:val="center"/>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一</w:t>
            </w:r>
          </w:p>
        </w:tc>
        <w:tc>
          <w:tcPr>
            <w:tcW w:w="2127" w:type="dxa"/>
            <w:tcBorders>
              <w:top w:val="single" w:color="auto" w:sz="4" w:space="0"/>
              <w:left w:val="nil"/>
              <w:bottom w:val="single" w:color="auto" w:sz="4" w:space="0"/>
              <w:right w:val="single" w:color="auto" w:sz="4" w:space="0"/>
            </w:tcBorders>
            <w:vAlign w:val="center"/>
          </w:tcPr>
          <w:p w14:paraId="1E88B01E">
            <w:pPr>
              <w:widowControl/>
              <w:jc w:val="center"/>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校方出资部分</w:t>
            </w:r>
          </w:p>
        </w:tc>
        <w:tc>
          <w:tcPr>
            <w:tcW w:w="1417" w:type="dxa"/>
            <w:tcBorders>
              <w:top w:val="single" w:color="auto" w:sz="4" w:space="0"/>
              <w:left w:val="nil"/>
              <w:bottom w:val="single" w:color="auto" w:sz="4" w:space="0"/>
              <w:right w:val="single" w:color="auto" w:sz="4" w:space="0"/>
            </w:tcBorders>
            <w:vAlign w:val="center"/>
          </w:tcPr>
          <w:p w14:paraId="7CD92BBD">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2281055 </w:t>
            </w:r>
          </w:p>
        </w:tc>
        <w:tc>
          <w:tcPr>
            <w:tcW w:w="1276" w:type="dxa"/>
            <w:tcBorders>
              <w:top w:val="single" w:color="auto" w:sz="4" w:space="0"/>
              <w:left w:val="nil"/>
              <w:bottom w:val="single" w:color="auto" w:sz="4" w:space="0"/>
              <w:right w:val="single" w:color="auto" w:sz="4" w:space="0"/>
            </w:tcBorders>
            <w:vAlign w:val="center"/>
          </w:tcPr>
          <w:p w14:paraId="326FDE62">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2064794 </w:t>
            </w:r>
          </w:p>
        </w:tc>
        <w:tc>
          <w:tcPr>
            <w:tcW w:w="1276" w:type="dxa"/>
            <w:gridSpan w:val="2"/>
            <w:tcBorders>
              <w:top w:val="single" w:color="auto" w:sz="4" w:space="0"/>
              <w:left w:val="nil"/>
              <w:bottom w:val="single" w:color="auto" w:sz="4" w:space="0"/>
              <w:right w:val="single" w:color="auto" w:sz="4" w:space="0"/>
            </w:tcBorders>
            <w:vAlign w:val="center"/>
          </w:tcPr>
          <w:p w14:paraId="08B31EA9">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216261 </w:t>
            </w:r>
          </w:p>
        </w:tc>
        <w:tc>
          <w:tcPr>
            <w:tcW w:w="1714" w:type="dxa"/>
            <w:gridSpan w:val="2"/>
            <w:tcBorders>
              <w:top w:val="single" w:color="auto" w:sz="4" w:space="0"/>
              <w:left w:val="nil"/>
              <w:bottom w:val="single" w:color="auto" w:sz="4" w:space="0"/>
              <w:right w:val="single" w:color="auto" w:sz="4" w:space="0"/>
            </w:tcBorders>
            <w:vAlign w:val="center"/>
          </w:tcPr>
          <w:p w14:paraId="5AABF0B1">
            <w:pPr>
              <w:widowControl/>
              <w:jc w:val="left"/>
              <w:rPr>
                <w:rFonts w:hint="eastAsia" w:ascii="仿宋_GB2312" w:hAnsi="仿宋_GB2312" w:eastAsia="仿宋_GB2312" w:cs="仿宋_GB2312"/>
                <w:b/>
                <w:kern w:val="0"/>
                <w:sz w:val="24"/>
                <w:szCs w:val="24"/>
              </w:rPr>
            </w:pPr>
          </w:p>
        </w:tc>
      </w:tr>
      <w:tr w14:paraId="2D93DA9C">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021A436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w:t>
            </w:r>
          </w:p>
        </w:tc>
        <w:tc>
          <w:tcPr>
            <w:tcW w:w="2127" w:type="dxa"/>
            <w:tcBorders>
              <w:top w:val="single" w:color="auto" w:sz="4" w:space="0"/>
              <w:left w:val="nil"/>
              <w:bottom w:val="single" w:color="auto" w:sz="4" w:space="0"/>
              <w:right w:val="single" w:color="auto" w:sz="4" w:space="0"/>
            </w:tcBorders>
            <w:vAlign w:val="center"/>
          </w:tcPr>
          <w:p w14:paraId="44980E4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工程费</w:t>
            </w:r>
          </w:p>
        </w:tc>
        <w:tc>
          <w:tcPr>
            <w:tcW w:w="1417" w:type="dxa"/>
            <w:tcBorders>
              <w:top w:val="single" w:color="auto" w:sz="4" w:space="0"/>
              <w:left w:val="nil"/>
              <w:bottom w:val="single" w:color="auto" w:sz="4" w:space="0"/>
              <w:right w:val="single" w:color="auto" w:sz="4" w:space="0"/>
            </w:tcBorders>
            <w:vAlign w:val="center"/>
          </w:tcPr>
          <w:p w14:paraId="18695195">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2281055 </w:t>
            </w:r>
          </w:p>
        </w:tc>
        <w:tc>
          <w:tcPr>
            <w:tcW w:w="1276" w:type="dxa"/>
            <w:tcBorders>
              <w:top w:val="single" w:color="auto" w:sz="4" w:space="0"/>
              <w:left w:val="nil"/>
              <w:bottom w:val="single" w:color="auto" w:sz="4" w:space="0"/>
              <w:right w:val="single" w:color="auto" w:sz="4" w:space="0"/>
            </w:tcBorders>
            <w:vAlign w:val="center"/>
          </w:tcPr>
          <w:p w14:paraId="1B6B6EB0">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1947919 </w:t>
            </w:r>
          </w:p>
        </w:tc>
        <w:tc>
          <w:tcPr>
            <w:tcW w:w="1276" w:type="dxa"/>
            <w:gridSpan w:val="2"/>
            <w:tcBorders>
              <w:top w:val="single" w:color="auto" w:sz="4" w:space="0"/>
              <w:left w:val="nil"/>
              <w:bottom w:val="single" w:color="auto" w:sz="4" w:space="0"/>
              <w:right w:val="single" w:color="auto" w:sz="4" w:space="0"/>
            </w:tcBorders>
            <w:vAlign w:val="center"/>
          </w:tcPr>
          <w:p w14:paraId="03821A34">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333136 </w:t>
            </w:r>
          </w:p>
        </w:tc>
        <w:tc>
          <w:tcPr>
            <w:tcW w:w="1714" w:type="dxa"/>
            <w:gridSpan w:val="2"/>
            <w:tcBorders>
              <w:top w:val="single" w:color="auto" w:sz="4" w:space="0"/>
              <w:left w:val="nil"/>
              <w:bottom w:val="single" w:color="auto" w:sz="4" w:space="0"/>
              <w:right w:val="single" w:color="auto" w:sz="4" w:space="0"/>
            </w:tcBorders>
            <w:vAlign w:val="center"/>
          </w:tcPr>
          <w:p w14:paraId="3133DC36">
            <w:pPr>
              <w:widowControl/>
              <w:jc w:val="left"/>
              <w:rPr>
                <w:rFonts w:hint="eastAsia" w:ascii="仿宋_GB2312" w:hAnsi="仿宋_GB2312" w:eastAsia="仿宋_GB2312" w:cs="仿宋_GB2312"/>
                <w:kern w:val="0"/>
                <w:sz w:val="24"/>
                <w:szCs w:val="24"/>
              </w:rPr>
            </w:pPr>
          </w:p>
        </w:tc>
      </w:tr>
      <w:tr w14:paraId="122D6856">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1C36681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1 </w:t>
            </w:r>
          </w:p>
        </w:tc>
        <w:tc>
          <w:tcPr>
            <w:tcW w:w="2127" w:type="dxa"/>
            <w:tcBorders>
              <w:top w:val="single" w:color="auto" w:sz="4" w:space="0"/>
              <w:left w:val="nil"/>
              <w:bottom w:val="single" w:color="auto" w:sz="4" w:space="0"/>
              <w:right w:val="single" w:color="auto" w:sz="4" w:space="0"/>
            </w:tcBorders>
            <w:vAlign w:val="center"/>
          </w:tcPr>
          <w:p w14:paraId="6E4416E4">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校方改变布局</w:t>
            </w:r>
          </w:p>
        </w:tc>
        <w:tc>
          <w:tcPr>
            <w:tcW w:w="1417" w:type="dxa"/>
            <w:tcBorders>
              <w:top w:val="single" w:color="auto" w:sz="4" w:space="0"/>
              <w:left w:val="nil"/>
              <w:bottom w:val="single" w:color="auto" w:sz="4" w:space="0"/>
              <w:right w:val="single" w:color="auto" w:sz="4" w:space="0"/>
            </w:tcBorders>
            <w:vAlign w:val="center"/>
          </w:tcPr>
          <w:p w14:paraId="452F0F2E">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774654 </w:t>
            </w:r>
          </w:p>
        </w:tc>
        <w:tc>
          <w:tcPr>
            <w:tcW w:w="1276" w:type="dxa"/>
            <w:tcBorders>
              <w:top w:val="single" w:color="auto" w:sz="4" w:space="0"/>
              <w:left w:val="nil"/>
              <w:bottom w:val="single" w:color="auto" w:sz="4" w:space="0"/>
              <w:right w:val="single" w:color="auto" w:sz="4" w:space="0"/>
            </w:tcBorders>
            <w:vAlign w:val="center"/>
          </w:tcPr>
          <w:p w14:paraId="39663659">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795585 </w:t>
            </w:r>
          </w:p>
        </w:tc>
        <w:tc>
          <w:tcPr>
            <w:tcW w:w="1276" w:type="dxa"/>
            <w:gridSpan w:val="2"/>
            <w:tcBorders>
              <w:top w:val="single" w:color="auto" w:sz="4" w:space="0"/>
              <w:left w:val="nil"/>
              <w:bottom w:val="single" w:color="auto" w:sz="4" w:space="0"/>
              <w:right w:val="single" w:color="auto" w:sz="4" w:space="0"/>
            </w:tcBorders>
            <w:vAlign w:val="center"/>
          </w:tcPr>
          <w:p w14:paraId="213FB79F">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79765 </w:t>
            </w:r>
          </w:p>
        </w:tc>
        <w:tc>
          <w:tcPr>
            <w:tcW w:w="1714" w:type="dxa"/>
            <w:gridSpan w:val="2"/>
            <w:tcBorders>
              <w:top w:val="single" w:color="auto" w:sz="4" w:space="0"/>
              <w:left w:val="nil"/>
              <w:bottom w:val="single" w:color="auto" w:sz="4" w:space="0"/>
              <w:right w:val="single" w:color="auto" w:sz="4" w:space="0"/>
            </w:tcBorders>
            <w:vAlign w:val="center"/>
          </w:tcPr>
          <w:p w14:paraId="24740696">
            <w:pPr>
              <w:widowControl/>
              <w:jc w:val="left"/>
              <w:rPr>
                <w:rFonts w:hint="eastAsia" w:ascii="仿宋_GB2312" w:hAnsi="仿宋_GB2312" w:eastAsia="仿宋_GB2312" w:cs="仿宋_GB2312"/>
                <w:kern w:val="0"/>
                <w:sz w:val="24"/>
                <w:szCs w:val="24"/>
              </w:rPr>
            </w:pPr>
          </w:p>
        </w:tc>
      </w:tr>
      <w:tr w14:paraId="796663CC">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7308556D">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2 </w:t>
            </w:r>
          </w:p>
        </w:tc>
        <w:tc>
          <w:tcPr>
            <w:tcW w:w="2127" w:type="dxa"/>
            <w:tcBorders>
              <w:top w:val="single" w:color="auto" w:sz="4" w:space="0"/>
              <w:left w:val="nil"/>
              <w:bottom w:val="single" w:color="auto" w:sz="4" w:space="0"/>
              <w:right w:val="single" w:color="auto" w:sz="4" w:space="0"/>
            </w:tcBorders>
            <w:vAlign w:val="center"/>
          </w:tcPr>
          <w:p w14:paraId="21C21A8E">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校方使用损耗</w:t>
            </w:r>
          </w:p>
        </w:tc>
        <w:tc>
          <w:tcPr>
            <w:tcW w:w="1417" w:type="dxa"/>
            <w:tcBorders>
              <w:top w:val="single" w:color="auto" w:sz="4" w:space="0"/>
              <w:left w:val="nil"/>
              <w:bottom w:val="single" w:color="auto" w:sz="4" w:space="0"/>
              <w:right w:val="single" w:color="auto" w:sz="4" w:space="0"/>
            </w:tcBorders>
            <w:vAlign w:val="center"/>
          </w:tcPr>
          <w:p w14:paraId="2E81790D">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1506401 </w:t>
            </w:r>
          </w:p>
        </w:tc>
        <w:tc>
          <w:tcPr>
            <w:tcW w:w="1276" w:type="dxa"/>
            <w:tcBorders>
              <w:top w:val="single" w:color="auto" w:sz="4" w:space="0"/>
              <w:left w:val="nil"/>
              <w:bottom w:val="single" w:color="auto" w:sz="4" w:space="0"/>
              <w:right w:val="single" w:color="auto" w:sz="4" w:space="0"/>
            </w:tcBorders>
            <w:vAlign w:val="center"/>
          </w:tcPr>
          <w:p w14:paraId="380DBBCB">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1152333 </w:t>
            </w:r>
          </w:p>
        </w:tc>
        <w:tc>
          <w:tcPr>
            <w:tcW w:w="1276" w:type="dxa"/>
            <w:gridSpan w:val="2"/>
            <w:tcBorders>
              <w:top w:val="single" w:color="auto" w:sz="4" w:space="0"/>
              <w:left w:val="nil"/>
              <w:bottom w:val="single" w:color="auto" w:sz="4" w:space="0"/>
              <w:right w:val="single" w:color="auto" w:sz="4" w:space="0"/>
            </w:tcBorders>
            <w:vAlign w:val="center"/>
          </w:tcPr>
          <w:p w14:paraId="01EA2CF2">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253371 </w:t>
            </w:r>
          </w:p>
        </w:tc>
        <w:tc>
          <w:tcPr>
            <w:tcW w:w="1714" w:type="dxa"/>
            <w:gridSpan w:val="2"/>
            <w:tcBorders>
              <w:top w:val="single" w:color="auto" w:sz="4" w:space="0"/>
              <w:left w:val="nil"/>
              <w:bottom w:val="single" w:color="auto" w:sz="4" w:space="0"/>
              <w:right w:val="single" w:color="auto" w:sz="4" w:space="0"/>
            </w:tcBorders>
            <w:vAlign w:val="center"/>
          </w:tcPr>
          <w:p w14:paraId="0FCAFD5C">
            <w:pPr>
              <w:widowControl/>
              <w:jc w:val="left"/>
              <w:rPr>
                <w:rFonts w:hint="eastAsia" w:ascii="仿宋_GB2312" w:hAnsi="仿宋_GB2312" w:eastAsia="仿宋_GB2312" w:cs="仿宋_GB2312"/>
                <w:kern w:val="0"/>
                <w:sz w:val="24"/>
                <w:szCs w:val="24"/>
              </w:rPr>
            </w:pPr>
          </w:p>
        </w:tc>
      </w:tr>
      <w:tr w14:paraId="5E5A4BC0">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680F94D9">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w:t>
            </w:r>
          </w:p>
        </w:tc>
        <w:tc>
          <w:tcPr>
            <w:tcW w:w="2127" w:type="dxa"/>
            <w:tcBorders>
              <w:top w:val="single" w:color="auto" w:sz="4" w:space="0"/>
              <w:left w:val="nil"/>
              <w:bottom w:val="single" w:color="auto" w:sz="4" w:space="0"/>
              <w:right w:val="single" w:color="auto" w:sz="4" w:space="0"/>
            </w:tcBorders>
            <w:vAlign w:val="center"/>
          </w:tcPr>
          <w:p w14:paraId="38CE3FE5">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措施费</w:t>
            </w:r>
          </w:p>
        </w:tc>
        <w:tc>
          <w:tcPr>
            <w:tcW w:w="1417" w:type="dxa"/>
            <w:tcBorders>
              <w:top w:val="single" w:color="auto" w:sz="4" w:space="0"/>
              <w:left w:val="nil"/>
              <w:bottom w:val="single" w:color="auto" w:sz="4" w:space="0"/>
              <w:right w:val="single" w:color="auto" w:sz="4" w:space="0"/>
            </w:tcBorders>
            <w:vAlign w:val="center"/>
          </w:tcPr>
          <w:p w14:paraId="5B75FFB8">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w:t>
            </w:r>
          </w:p>
        </w:tc>
        <w:tc>
          <w:tcPr>
            <w:tcW w:w="1276" w:type="dxa"/>
            <w:tcBorders>
              <w:top w:val="single" w:color="auto" w:sz="4" w:space="0"/>
              <w:left w:val="nil"/>
              <w:bottom w:val="single" w:color="auto" w:sz="4" w:space="0"/>
              <w:right w:val="single" w:color="auto" w:sz="4" w:space="0"/>
            </w:tcBorders>
            <w:vAlign w:val="center"/>
          </w:tcPr>
          <w:p w14:paraId="58E01347">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58438 </w:t>
            </w:r>
          </w:p>
        </w:tc>
        <w:tc>
          <w:tcPr>
            <w:tcW w:w="1276" w:type="dxa"/>
            <w:gridSpan w:val="2"/>
            <w:tcBorders>
              <w:top w:val="single" w:color="auto" w:sz="4" w:space="0"/>
              <w:left w:val="nil"/>
              <w:bottom w:val="single" w:color="auto" w:sz="4" w:space="0"/>
              <w:right w:val="single" w:color="auto" w:sz="4" w:space="0"/>
            </w:tcBorders>
            <w:vAlign w:val="center"/>
          </w:tcPr>
          <w:p w14:paraId="2750780A">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-58438 </w:t>
            </w:r>
          </w:p>
        </w:tc>
        <w:tc>
          <w:tcPr>
            <w:tcW w:w="1714" w:type="dxa"/>
            <w:gridSpan w:val="2"/>
            <w:tcBorders>
              <w:top w:val="single" w:color="auto" w:sz="4" w:space="0"/>
              <w:left w:val="nil"/>
              <w:bottom w:val="single" w:color="auto" w:sz="4" w:space="0"/>
              <w:right w:val="single" w:color="auto" w:sz="4" w:space="0"/>
            </w:tcBorders>
            <w:vAlign w:val="center"/>
          </w:tcPr>
          <w:p w14:paraId="5519EB07">
            <w:pPr>
              <w:widowControl/>
              <w:jc w:val="left"/>
              <w:rPr>
                <w:rFonts w:hint="eastAsia" w:ascii="仿宋_GB2312" w:hAnsi="仿宋_GB2312" w:eastAsia="仿宋_GB2312" w:cs="仿宋_GB2312"/>
                <w:kern w:val="0"/>
                <w:sz w:val="24"/>
                <w:szCs w:val="24"/>
              </w:rPr>
            </w:pPr>
          </w:p>
        </w:tc>
      </w:tr>
      <w:tr w14:paraId="41F586E9">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4918E74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w:t>
            </w:r>
          </w:p>
        </w:tc>
        <w:tc>
          <w:tcPr>
            <w:tcW w:w="2127" w:type="dxa"/>
            <w:tcBorders>
              <w:top w:val="single" w:color="auto" w:sz="4" w:space="0"/>
              <w:left w:val="nil"/>
              <w:bottom w:val="single" w:color="auto" w:sz="4" w:space="0"/>
              <w:right w:val="single" w:color="auto" w:sz="4" w:space="0"/>
            </w:tcBorders>
            <w:vAlign w:val="center"/>
          </w:tcPr>
          <w:p w14:paraId="5B6D8986">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不可预见费</w:t>
            </w:r>
          </w:p>
        </w:tc>
        <w:tc>
          <w:tcPr>
            <w:tcW w:w="1417" w:type="dxa"/>
            <w:tcBorders>
              <w:top w:val="single" w:color="auto" w:sz="4" w:space="0"/>
              <w:left w:val="nil"/>
              <w:bottom w:val="single" w:color="auto" w:sz="4" w:space="0"/>
              <w:right w:val="single" w:color="auto" w:sz="4" w:space="0"/>
            </w:tcBorders>
            <w:vAlign w:val="center"/>
          </w:tcPr>
          <w:p w14:paraId="1441C7C1">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w:t>
            </w:r>
          </w:p>
        </w:tc>
        <w:tc>
          <w:tcPr>
            <w:tcW w:w="1276" w:type="dxa"/>
            <w:tcBorders>
              <w:top w:val="single" w:color="auto" w:sz="4" w:space="0"/>
              <w:left w:val="nil"/>
              <w:bottom w:val="single" w:color="auto" w:sz="4" w:space="0"/>
              <w:right w:val="single" w:color="auto" w:sz="4" w:space="0"/>
            </w:tcBorders>
            <w:vAlign w:val="center"/>
          </w:tcPr>
          <w:p w14:paraId="3A98E412">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58438 </w:t>
            </w:r>
          </w:p>
        </w:tc>
        <w:tc>
          <w:tcPr>
            <w:tcW w:w="1276" w:type="dxa"/>
            <w:gridSpan w:val="2"/>
            <w:tcBorders>
              <w:top w:val="single" w:color="auto" w:sz="4" w:space="0"/>
              <w:left w:val="nil"/>
              <w:bottom w:val="single" w:color="auto" w:sz="4" w:space="0"/>
              <w:right w:val="single" w:color="auto" w:sz="4" w:space="0"/>
            </w:tcBorders>
            <w:vAlign w:val="center"/>
          </w:tcPr>
          <w:p w14:paraId="16725FC8">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-58438 </w:t>
            </w:r>
          </w:p>
        </w:tc>
        <w:tc>
          <w:tcPr>
            <w:tcW w:w="1714" w:type="dxa"/>
            <w:gridSpan w:val="2"/>
            <w:tcBorders>
              <w:top w:val="single" w:color="auto" w:sz="4" w:space="0"/>
              <w:left w:val="nil"/>
              <w:bottom w:val="single" w:color="auto" w:sz="4" w:space="0"/>
              <w:right w:val="single" w:color="auto" w:sz="4" w:space="0"/>
            </w:tcBorders>
            <w:vAlign w:val="center"/>
          </w:tcPr>
          <w:p w14:paraId="3CD13BF2">
            <w:pPr>
              <w:widowControl/>
              <w:jc w:val="left"/>
              <w:rPr>
                <w:rFonts w:hint="eastAsia" w:ascii="仿宋_GB2312" w:hAnsi="仿宋_GB2312" w:eastAsia="仿宋_GB2312" w:cs="仿宋_GB2312"/>
                <w:kern w:val="0"/>
                <w:sz w:val="24"/>
                <w:szCs w:val="24"/>
              </w:rPr>
            </w:pPr>
          </w:p>
        </w:tc>
      </w:tr>
      <w:tr w14:paraId="68C1C67C">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034563E0">
            <w:pPr>
              <w:widowControl/>
              <w:jc w:val="center"/>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二</w:t>
            </w:r>
          </w:p>
        </w:tc>
        <w:tc>
          <w:tcPr>
            <w:tcW w:w="2127" w:type="dxa"/>
            <w:tcBorders>
              <w:top w:val="single" w:color="auto" w:sz="4" w:space="0"/>
              <w:left w:val="nil"/>
              <w:bottom w:val="single" w:color="auto" w:sz="4" w:space="0"/>
              <w:right w:val="single" w:color="auto" w:sz="4" w:space="0"/>
            </w:tcBorders>
            <w:vAlign w:val="center"/>
          </w:tcPr>
          <w:p w14:paraId="181549F1">
            <w:pPr>
              <w:widowControl/>
              <w:jc w:val="center"/>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未完工部分</w:t>
            </w:r>
          </w:p>
        </w:tc>
        <w:tc>
          <w:tcPr>
            <w:tcW w:w="1417" w:type="dxa"/>
            <w:tcBorders>
              <w:top w:val="single" w:color="auto" w:sz="4" w:space="0"/>
              <w:left w:val="nil"/>
              <w:bottom w:val="single" w:color="auto" w:sz="4" w:space="0"/>
              <w:right w:val="single" w:color="auto" w:sz="4" w:space="0"/>
            </w:tcBorders>
            <w:vAlign w:val="center"/>
          </w:tcPr>
          <w:p w14:paraId="03C2538F">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9229767 </w:t>
            </w:r>
          </w:p>
        </w:tc>
        <w:tc>
          <w:tcPr>
            <w:tcW w:w="1276" w:type="dxa"/>
            <w:tcBorders>
              <w:top w:val="single" w:color="auto" w:sz="4" w:space="0"/>
              <w:left w:val="nil"/>
              <w:bottom w:val="single" w:color="auto" w:sz="4" w:space="0"/>
              <w:right w:val="single" w:color="auto" w:sz="4" w:space="0"/>
            </w:tcBorders>
            <w:vAlign w:val="center"/>
          </w:tcPr>
          <w:p w14:paraId="510C577C">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7918912 </w:t>
            </w:r>
          </w:p>
        </w:tc>
        <w:tc>
          <w:tcPr>
            <w:tcW w:w="1276" w:type="dxa"/>
            <w:gridSpan w:val="2"/>
            <w:tcBorders>
              <w:top w:val="single" w:color="auto" w:sz="4" w:space="0"/>
              <w:left w:val="nil"/>
              <w:bottom w:val="single" w:color="auto" w:sz="4" w:space="0"/>
              <w:right w:val="single" w:color="auto" w:sz="4" w:space="0"/>
            </w:tcBorders>
            <w:vAlign w:val="center"/>
          </w:tcPr>
          <w:p w14:paraId="61851546">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1310854 </w:t>
            </w:r>
          </w:p>
        </w:tc>
        <w:tc>
          <w:tcPr>
            <w:tcW w:w="1714" w:type="dxa"/>
            <w:gridSpan w:val="2"/>
            <w:tcBorders>
              <w:top w:val="single" w:color="auto" w:sz="4" w:space="0"/>
              <w:left w:val="nil"/>
              <w:bottom w:val="single" w:color="auto" w:sz="4" w:space="0"/>
              <w:right w:val="single" w:color="auto" w:sz="4" w:space="0"/>
            </w:tcBorders>
            <w:vAlign w:val="center"/>
          </w:tcPr>
          <w:p w14:paraId="498E077B">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sz w:val="24"/>
                <w:szCs w:val="24"/>
              </w:rPr>
              <w:t>原建设途径筹资</w:t>
            </w:r>
          </w:p>
        </w:tc>
      </w:tr>
      <w:tr w14:paraId="7D163025">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6CE863D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w:t>
            </w:r>
          </w:p>
        </w:tc>
        <w:tc>
          <w:tcPr>
            <w:tcW w:w="2127" w:type="dxa"/>
            <w:tcBorders>
              <w:top w:val="single" w:color="auto" w:sz="4" w:space="0"/>
              <w:left w:val="nil"/>
              <w:bottom w:val="single" w:color="auto" w:sz="4" w:space="0"/>
              <w:right w:val="single" w:color="auto" w:sz="4" w:space="0"/>
            </w:tcBorders>
            <w:vAlign w:val="center"/>
          </w:tcPr>
          <w:p w14:paraId="2A4B961C">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工程费</w:t>
            </w:r>
          </w:p>
        </w:tc>
        <w:tc>
          <w:tcPr>
            <w:tcW w:w="1417" w:type="dxa"/>
            <w:tcBorders>
              <w:top w:val="single" w:color="auto" w:sz="4" w:space="0"/>
              <w:left w:val="nil"/>
              <w:bottom w:val="single" w:color="auto" w:sz="4" w:space="0"/>
              <w:right w:val="single" w:color="auto" w:sz="4" w:space="0"/>
            </w:tcBorders>
            <w:vAlign w:val="center"/>
          </w:tcPr>
          <w:p w14:paraId="30CA8A03">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9229767 </w:t>
            </w:r>
          </w:p>
        </w:tc>
        <w:tc>
          <w:tcPr>
            <w:tcW w:w="1276" w:type="dxa"/>
            <w:tcBorders>
              <w:top w:val="single" w:color="auto" w:sz="4" w:space="0"/>
              <w:left w:val="nil"/>
              <w:bottom w:val="single" w:color="auto" w:sz="4" w:space="0"/>
              <w:right w:val="single" w:color="auto" w:sz="4" w:space="0"/>
            </w:tcBorders>
            <w:vAlign w:val="center"/>
          </w:tcPr>
          <w:p w14:paraId="651D66C2">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7470672 </w:t>
            </w:r>
          </w:p>
        </w:tc>
        <w:tc>
          <w:tcPr>
            <w:tcW w:w="1276" w:type="dxa"/>
            <w:gridSpan w:val="2"/>
            <w:tcBorders>
              <w:top w:val="single" w:color="auto" w:sz="4" w:space="0"/>
              <w:left w:val="nil"/>
              <w:bottom w:val="single" w:color="auto" w:sz="4" w:space="0"/>
              <w:right w:val="single" w:color="auto" w:sz="4" w:space="0"/>
            </w:tcBorders>
            <w:vAlign w:val="center"/>
          </w:tcPr>
          <w:p w14:paraId="33FC203B">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1759095 </w:t>
            </w:r>
          </w:p>
        </w:tc>
        <w:tc>
          <w:tcPr>
            <w:tcW w:w="1714" w:type="dxa"/>
            <w:gridSpan w:val="2"/>
            <w:tcBorders>
              <w:top w:val="single" w:color="auto" w:sz="4" w:space="0"/>
              <w:left w:val="nil"/>
              <w:bottom w:val="single" w:color="auto" w:sz="4" w:space="0"/>
              <w:right w:val="single" w:color="auto" w:sz="4" w:space="0"/>
            </w:tcBorders>
            <w:vAlign w:val="center"/>
          </w:tcPr>
          <w:p w14:paraId="6A6D45A8">
            <w:pPr>
              <w:widowControl/>
              <w:jc w:val="left"/>
              <w:rPr>
                <w:rFonts w:hint="eastAsia" w:ascii="仿宋_GB2312" w:hAnsi="仿宋_GB2312" w:eastAsia="仿宋_GB2312" w:cs="仿宋_GB2312"/>
                <w:kern w:val="0"/>
                <w:sz w:val="24"/>
                <w:szCs w:val="24"/>
              </w:rPr>
            </w:pPr>
          </w:p>
        </w:tc>
      </w:tr>
      <w:tr w14:paraId="25415499">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5741EDC8">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w:t>
            </w:r>
          </w:p>
        </w:tc>
        <w:tc>
          <w:tcPr>
            <w:tcW w:w="2127" w:type="dxa"/>
            <w:tcBorders>
              <w:top w:val="single" w:color="auto" w:sz="4" w:space="0"/>
              <w:left w:val="nil"/>
              <w:bottom w:val="single" w:color="auto" w:sz="4" w:space="0"/>
              <w:right w:val="single" w:color="auto" w:sz="4" w:space="0"/>
            </w:tcBorders>
            <w:vAlign w:val="center"/>
          </w:tcPr>
          <w:p w14:paraId="174BF2B1">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措施费</w:t>
            </w:r>
          </w:p>
        </w:tc>
        <w:tc>
          <w:tcPr>
            <w:tcW w:w="1417" w:type="dxa"/>
            <w:tcBorders>
              <w:top w:val="single" w:color="auto" w:sz="4" w:space="0"/>
              <w:left w:val="nil"/>
              <w:bottom w:val="single" w:color="auto" w:sz="4" w:space="0"/>
              <w:right w:val="single" w:color="auto" w:sz="4" w:space="0"/>
            </w:tcBorders>
            <w:vAlign w:val="center"/>
          </w:tcPr>
          <w:p w14:paraId="57AA2C64">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w:t>
            </w:r>
          </w:p>
        </w:tc>
        <w:tc>
          <w:tcPr>
            <w:tcW w:w="1276" w:type="dxa"/>
            <w:tcBorders>
              <w:top w:val="single" w:color="auto" w:sz="4" w:space="0"/>
              <w:left w:val="nil"/>
              <w:bottom w:val="single" w:color="auto" w:sz="4" w:space="0"/>
              <w:right w:val="single" w:color="auto" w:sz="4" w:space="0"/>
            </w:tcBorders>
            <w:vAlign w:val="center"/>
          </w:tcPr>
          <w:p w14:paraId="3675EC18">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224120 </w:t>
            </w:r>
          </w:p>
        </w:tc>
        <w:tc>
          <w:tcPr>
            <w:tcW w:w="1276" w:type="dxa"/>
            <w:gridSpan w:val="2"/>
            <w:tcBorders>
              <w:top w:val="single" w:color="auto" w:sz="4" w:space="0"/>
              <w:left w:val="nil"/>
              <w:bottom w:val="single" w:color="auto" w:sz="4" w:space="0"/>
              <w:right w:val="single" w:color="auto" w:sz="4" w:space="0"/>
            </w:tcBorders>
            <w:vAlign w:val="center"/>
          </w:tcPr>
          <w:p w14:paraId="64EF208B">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-224120 </w:t>
            </w:r>
          </w:p>
        </w:tc>
        <w:tc>
          <w:tcPr>
            <w:tcW w:w="1714" w:type="dxa"/>
            <w:gridSpan w:val="2"/>
            <w:tcBorders>
              <w:top w:val="single" w:color="auto" w:sz="4" w:space="0"/>
              <w:left w:val="nil"/>
              <w:bottom w:val="single" w:color="auto" w:sz="4" w:space="0"/>
              <w:right w:val="single" w:color="auto" w:sz="4" w:space="0"/>
            </w:tcBorders>
            <w:vAlign w:val="center"/>
          </w:tcPr>
          <w:p w14:paraId="44C06DCE">
            <w:pPr>
              <w:widowControl/>
              <w:jc w:val="left"/>
              <w:rPr>
                <w:rFonts w:hint="eastAsia" w:ascii="仿宋_GB2312" w:hAnsi="仿宋_GB2312" w:eastAsia="仿宋_GB2312" w:cs="仿宋_GB2312"/>
                <w:kern w:val="0"/>
                <w:sz w:val="24"/>
                <w:szCs w:val="24"/>
              </w:rPr>
            </w:pPr>
          </w:p>
        </w:tc>
      </w:tr>
      <w:tr w14:paraId="0EAFEBCE">
        <w:tblPrEx>
          <w:tblCellMar>
            <w:top w:w="0" w:type="dxa"/>
            <w:left w:w="108" w:type="dxa"/>
            <w:bottom w:w="0" w:type="dxa"/>
            <w:right w:w="108" w:type="dxa"/>
          </w:tblCellMar>
        </w:tblPrEx>
        <w:trPr>
          <w:trHeight w:val="567" w:hRule="exact"/>
          <w:jc w:val="center"/>
        </w:trPr>
        <w:tc>
          <w:tcPr>
            <w:tcW w:w="1043" w:type="dxa"/>
            <w:tcBorders>
              <w:top w:val="single" w:color="auto" w:sz="4" w:space="0"/>
              <w:left w:val="single" w:color="auto" w:sz="4" w:space="0"/>
              <w:bottom w:val="single" w:color="auto" w:sz="4" w:space="0"/>
              <w:right w:val="single" w:color="auto" w:sz="4" w:space="0"/>
            </w:tcBorders>
            <w:vAlign w:val="center"/>
          </w:tcPr>
          <w:p w14:paraId="5657467A">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w:t>
            </w:r>
          </w:p>
        </w:tc>
        <w:tc>
          <w:tcPr>
            <w:tcW w:w="2127" w:type="dxa"/>
            <w:tcBorders>
              <w:top w:val="single" w:color="auto" w:sz="4" w:space="0"/>
              <w:left w:val="nil"/>
              <w:bottom w:val="single" w:color="auto" w:sz="4" w:space="0"/>
              <w:right w:val="single" w:color="auto" w:sz="4" w:space="0"/>
            </w:tcBorders>
            <w:vAlign w:val="center"/>
          </w:tcPr>
          <w:p w14:paraId="6D378870">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不可预见费</w:t>
            </w:r>
          </w:p>
        </w:tc>
        <w:tc>
          <w:tcPr>
            <w:tcW w:w="1417" w:type="dxa"/>
            <w:tcBorders>
              <w:top w:val="single" w:color="auto" w:sz="4" w:space="0"/>
              <w:left w:val="nil"/>
              <w:bottom w:val="single" w:color="auto" w:sz="4" w:space="0"/>
              <w:right w:val="single" w:color="auto" w:sz="4" w:space="0"/>
            </w:tcBorders>
            <w:vAlign w:val="center"/>
          </w:tcPr>
          <w:p w14:paraId="067A33E4">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w:t>
            </w:r>
          </w:p>
        </w:tc>
        <w:tc>
          <w:tcPr>
            <w:tcW w:w="1276" w:type="dxa"/>
            <w:tcBorders>
              <w:top w:val="single" w:color="auto" w:sz="4" w:space="0"/>
              <w:left w:val="nil"/>
              <w:bottom w:val="single" w:color="auto" w:sz="4" w:space="0"/>
              <w:right w:val="single" w:color="auto" w:sz="4" w:space="0"/>
            </w:tcBorders>
            <w:vAlign w:val="center"/>
          </w:tcPr>
          <w:p w14:paraId="19256768">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224120 </w:t>
            </w:r>
          </w:p>
        </w:tc>
        <w:tc>
          <w:tcPr>
            <w:tcW w:w="1276" w:type="dxa"/>
            <w:gridSpan w:val="2"/>
            <w:tcBorders>
              <w:top w:val="single" w:color="auto" w:sz="4" w:space="0"/>
              <w:left w:val="nil"/>
              <w:bottom w:val="single" w:color="auto" w:sz="4" w:space="0"/>
              <w:right w:val="single" w:color="auto" w:sz="4" w:space="0"/>
            </w:tcBorders>
            <w:vAlign w:val="center"/>
          </w:tcPr>
          <w:p w14:paraId="4AFCAF63">
            <w:pPr>
              <w:widowControl/>
              <w:jc w:val="cente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-224120 </w:t>
            </w:r>
          </w:p>
        </w:tc>
        <w:tc>
          <w:tcPr>
            <w:tcW w:w="1714" w:type="dxa"/>
            <w:gridSpan w:val="2"/>
            <w:tcBorders>
              <w:top w:val="single" w:color="auto" w:sz="4" w:space="0"/>
              <w:left w:val="nil"/>
              <w:bottom w:val="single" w:color="auto" w:sz="4" w:space="0"/>
              <w:right w:val="single" w:color="auto" w:sz="4" w:space="0"/>
            </w:tcBorders>
            <w:vAlign w:val="center"/>
          </w:tcPr>
          <w:p w14:paraId="5AE1420E">
            <w:pPr>
              <w:widowControl/>
              <w:jc w:val="left"/>
              <w:rPr>
                <w:rFonts w:hint="eastAsia" w:ascii="仿宋_GB2312" w:hAnsi="仿宋_GB2312" w:eastAsia="仿宋_GB2312" w:cs="仿宋_GB2312"/>
                <w:kern w:val="0"/>
                <w:sz w:val="24"/>
                <w:szCs w:val="24"/>
              </w:rPr>
            </w:pPr>
          </w:p>
        </w:tc>
      </w:tr>
      <w:tr w14:paraId="5E109E00">
        <w:tblPrEx>
          <w:tblCellMar>
            <w:top w:w="0" w:type="dxa"/>
            <w:left w:w="108" w:type="dxa"/>
            <w:bottom w:w="0" w:type="dxa"/>
            <w:right w:w="108" w:type="dxa"/>
          </w:tblCellMar>
        </w:tblPrEx>
        <w:trPr>
          <w:trHeight w:val="567" w:hRule="exact"/>
          <w:jc w:val="center"/>
        </w:trPr>
        <w:tc>
          <w:tcPr>
            <w:tcW w:w="1043" w:type="dxa"/>
            <w:tcBorders>
              <w:top w:val="nil"/>
              <w:left w:val="single" w:color="auto" w:sz="4" w:space="0"/>
              <w:bottom w:val="single" w:color="auto" w:sz="4" w:space="0"/>
              <w:right w:val="single" w:color="auto" w:sz="4" w:space="0"/>
            </w:tcBorders>
            <w:vAlign w:val="center"/>
          </w:tcPr>
          <w:p w14:paraId="0DF5F3B6">
            <w:pPr>
              <w:widowControl/>
              <w:jc w:val="center"/>
              <w:rPr>
                <w:rFonts w:hint="eastAsia" w:ascii="仿宋_GB2312" w:hAnsi="仿宋_GB2312" w:eastAsia="仿宋_GB2312" w:cs="仿宋_GB2312"/>
                <w:b/>
                <w:kern w:val="0"/>
                <w:sz w:val="24"/>
                <w:szCs w:val="24"/>
              </w:rPr>
            </w:pPr>
          </w:p>
        </w:tc>
        <w:tc>
          <w:tcPr>
            <w:tcW w:w="2127" w:type="dxa"/>
            <w:tcBorders>
              <w:top w:val="nil"/>
              <w:left w:val="nil"/>
              <w:bottom w:val="single" w:color="auto" w:sz="4" w:space="0"/>
              <w:right w:val="single" w:color="auto" w:sz="4" w:space="0"/>
            </w:tcBorders>
            <w:vAlign w:val="center"/>
          </w:tcPr>
          <w:p w14:paraId="2F935799">
            <w:pPr>
              <w:widowControl/>
              <w:jc w:val="center"/>
              <w:rPr>
                <w:rFonts w:hint="eastAsia"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合  计（一+二）</w:t>
            </w:r>
          </w:p>
        </w:tc>
        <w:tc>
          <w:tcPr>
            <w:tcW w:w="1417" w:type="dxa"/>
            <w:tcBorders>
              <w:top w:val="nil"/>
              <w:left w:val="nil"/>
              <w:bottom w:val="single" w:color="auto" w:sz="4" w:space="0"/>
              <w:right w:val="single" w:color="auto" w:sz="4" w:space="0"/>
            </w:tcBorders>
            <w:vAlign w:val="center"/>
          </w:tcPr>
          <w:p w14:paraId="42945130">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11510821 </w:t>
            </w:r>
          </w:p>
        </w:tc>
        <w:tc>
          <w:tcPr>
            <w:tcW w:w="1276" w:type="dxa"/>
            <w:tcBorders>
              <w:top w:val="nil"/>
              <w:left w:val="nil"/>
              <w:bottom w:val="single" w:color="auto" w:sz="4" w:space="0"/>
              <w:right w:val="single" w:color="auto" w:sz="4" w:space="0"/>
            </w:tcBorders>
            <w:vAlign w:val="center"/>
          </w:tcPr>
          <w:p w14:paraId="4EFB78A7">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9983706 </w:t>
            </w:r>
          </w:p>
        </w:tc>
        <w:tc>
          <w:tcPr>
            <w:tcW w:w="1276" w:type="dxa"/>
            <w:gridSpan w:val="2"/>
            <w:tcBorders>
              <w:top w:val="nil"/>
              <w:left w:val="nil"/>
              <w:bottom w:val="single" w:color="auto" w:sz="4" w:space="0"/>
              <w:right w:val="single" w:color="auto" w:sz="4" w:space="0"/>
            </w:tcBorders>
            <w:vAlign w:val="center"/>
          </w:tcPr>
          <w:p w14:paraId="20506CD2">
            <w:pPr>
              <w:widowControl/>
              <w:jc w:val="center"/>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 xml:space="preserve">1527115 </w:t>
            </w:r>
          </w:p>
        </w:tc>
        <w:tc>
          <w:tcPr>
            <w:tcW w:w="1714" w:type="dxa"/>
            <w:gridSpan w:val="2"/>
            <w:tcBorders>
              <w:top w:val="nil"/>
              <w:left w:val="nil"/>
              <w:bottom w:val="single" w:color="auto" w:sz="4" w:space="0"/>
              <w:right w:val="single" w:color="auto" w:sz="4" w:space="0"/>
            </w:tcBorders>
            <w:vAlign w:val="center"/>
          </w:tcPr>
          <w:p w14:paraId="486B7913">
            <w:pPr>
              <w:widowControl/>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color w:val="000000"/>
                <w:sz w:val="24"/>
                <w:szCs w:val="24"/>
              </w:rPr>
              <w:t>审减率13.27%</w:t>
            </w:r>
          </w:p>
        </w:tc>
      </w:tr>
    </w:tbl>
    <w:p w14:paraId="5AD2066B"/>
    <w:sectPr>
      <w:pgSz w:w="11906" w:h="16838"/>
      <w:pgMar w:top="2154" w:right="1531" w:bottom="1440"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方正仿宋_GBK">
    <w:altName w:val="微软雅黑"/>
    <w:panose1 w:val="00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C95"/>
    <w:rsid w:val="00000756"/>
    <w:rsid w:val="00020FAB"/>
    <w:rsid w:val="00085B23"/>
    <w:rsid w:val="001215E9"/>
    <w:rsid w:val="00124BA6"/>
    <w:rsid w:val="001479F8"/>
    <w:rsid w:val="001A0E0C"/>
    <w:rsid w:val="0021362D"/>
    <w:rsid w:val="002147B4"/>
    <w:rsid w:val="00224739"/>
    <w:rsid w:val="002550DA"/>
    <w:rsid w:val="002910E0"/>
    <w:rsid w:val="00293F9D"/>
    <w:rsid w:val="002A76CD"/>
    <w:rsid w:val="002B3604"/>
    <w:rsid w:val="0030666D"/>
    <w:rsid w:val="003459A7"/>
    <w:rsid w:val="00355006"/>
    <w:rsid w:val="003A3B90"/>
    <w:rsid w:val="003B1247"/>
    <w:rsid w:val="003C1927"/>
    <w:rsid w:val="003E7F11"/>
    <w:rsid w:val="00441C6A"/>
    <w:rsid w:val="00484DFC"/>
    <w:rsid w:val="004A70E5"/>
    <w:rsid w:val="004B2325"/>
    <w:rsid w:val="004D08C3"/>
    <w:rsid w:val="00530125"/>
    <w:rsid w:val="00597761"/>
    <w:rsid w:val="005C25C6"/>
    <w:rsid w:val="005E03B0"/>
    <w:rsid w:val="00617840"/>
    <w:rsid w:val="006365E1"/>
    <w:rsid w:val="00643849"/>
    <w:rsid w:val="00684E64"/>
    <w:rsid w:val="006908F6"/>
    <w:rsid w:val="006E37E2"/>
    <w:rsid w:val="006F4ED8"/>
    <w:rsid w:val="007674DA"/>
    <w:rsid w:val="00783187"/>
    <w:rsid w:val="007977F1"/>
    <w:rsid w:val="0087731F"/>
    <w:rsid w:val="00885C95"/>
    <w:rsid w:val="008949B8"/>
    <w:rsid w:val="008C6E6E"/>
    <w:rsid w:val="00957E17"/>
    <w:rsid w:val="009729BD"/>
    <w:rsid w:val="00983433"/>
    <w:rsid w:val="00987E15"/>
    <w:rsid w:val="009A5363"/>
    <w:rsid w:val="009D0076"/>
    <w:rsid w:val="009D294F"/>
    <w:rsid w:val="009E1678"/>
    <w:rsid w:val="009E3E4E"/>
    <w:rsid w:val="00A14241"/>
    <w:rsid w:val="00A20CF8"/>
    <w:rsid w:val="00A45C28"/>
    <w:rsid w:val="00A83634"/>
    <w:rsid w:val="00AE318F"/>
    <w:rsid w:val="00B10D36"/>
    <w:rsid w:val="00B131C8"/>
    <w:rsid w:val="00B13E31"/>
    <w:rsid w:val="00B57111"/>
    <w:rsid w:val="00B93D71"/>
    <w:rsid w:val="00B97A21"/>
    <w:rsid w:val="00BB045A"/>
    <w:rsid w:val="00BD2724"/>
    <w:rsid w:val="00BF1B1B"/>
    <w:rsid w:val="00C160E8"/>
    <w:rsid w:val="00C3151B"/>
    <w:rsid w:val="00C363A1"/>
    <w:rsid w:val="00C60121"/>
    <w:rsid w:val="00C810E0"/>
    <w:rsid w:val="00C879BE"/>
    <w:rsid w:val="00CB2A73"/>
    <w:rsid w:val="00CC1F81"/>
    <w:rsid w:val="00D25D9D"/>
    <w:rsid w:val="00D40239"/>
    <w:rsid w:val="00D45129"/>
    <w:rsid w:val="00D505AA"/>
    <w:rsid w:val="00D62C9B"/>
    <w:rsid w:val="00D83731"/>
    <w:rsid w:val="00DA4780"/>
    <w:rsid w:val="00DB1BF1"/>
    <w:rsid w:val="00DC5B31"/>
    <w:rsid w:val="00DD2057"/>
    <w:rsid w:val="00DE41FE"/>
    <w:rsid w:val="00E254A1"/>
    <w:rsid w:val="00ED1673"/>
    <w:rsid w:val="00F01608"/>
    <w:rsid w:val="00F36E1D"/>
    <w:rsid w:val="00F67CB7"/>
    <w:rsid w:val="00F85FF3"/>
    <w:rsid w:val="00FE121F"/>
    <w:rsid w:val="00FE4C73"/>
    <w:rsid w:val="02866F56"/>
    <w:rsid w:val="0B882E7B"/>
    <w:rsid w:val="12745F08"/>
    <w:rsid w:val="194A79C2"/>
    <w:rsid w:val="1BB41163"/>
    <w:rsid w:val="20832F5C"/>
    <w:rsid w:val="209C5DE5"/>
    <w:rsid w:val="249C4E4A"/>
    <w:rsid w:val="28C96273"/>
    <w:rsid w:val="28E56790"/>
    <w:rsid w:val="33AD56A5"/>
    <w:rsid w:val="38600D35"/>
    <w:rsid w:val="3D351C84"/>
    <w:rsid w:val="433720F1"/>
    <w:rsid w:val="45E654EE"/>
    <w:rsid w:val="4E87110B"/>
    <w:rsid w:val="4FBA5DF2"/>
    <w:rsid w:val="518F4D47"/>
    <w:rsid w:val="51B15B29"/>
    <w:rsid w:val="550B65C3"/>
    <w:rsid w:val="5ACF5875"/>
    <w:rsid w:val="5BD24636"/>
    <w:rsid w:val="60BE5842"/>
    <w:rsid w:val="6A774E57"/>
    <w:rsid w:val="6E113575"/>
    <w:rsid w:val="6F0F48D6"/>
    <w:rsid w:val="708C3591"/>
    <w:rsid w:val="76E66C30"/>
    <w:rsid w:val="7D1C7A4B"/>
    <w:rsid w:val="EEFB8874"/>
    <w:rsid w:val="EF9FD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qFormat="1"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3"/>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4">
    <w:name w:val="heading 2"/>
    <w:basedOn w:val="1"/>
    <w:next w:val="1"/>
    <w:link w:val="24"/>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5">
    <w:name w:val="heading 3"/>
    <w:basedOn w:val="1"/>
    <w:next w:val="1"/>
    <w:link w:val="25"/>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6">
    <w:name w:val="heading 4"/>
    <w:basedOn w:val="1"/>
    <w:next w:val="1"/>
    <w:link w:val="26"/>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7">
    <w:name w:val="heading 5"/>
    <w:basedOn w:val="1"/>
    <w:next w:val="1"/>
    <w:link w:val="27"/>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rPr>
  </w:style>
  <w:style w:type="paragraph" w:styleId="8">
    <w:name w:val="heading 6"/>
    <w:basedOn w:val="1"/>
    <w:next w:val="1"/>
    <w:link w:val="28"/>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sz w:val="24"/>
    </w:rPr>
  </w:style>
  <w:style w:type="paragraph" w:styleId="9">
    <w:name w:val="heading 7"/>
    <w:basedOn w:val="1"/>
    <w:next w:val="1"/>
    <w:link w:val="29"/>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 w:val="24"/>
      <w14:textFill>
        <w14:solidFill>
          <w14:schemeClr w14:val="tx1">
            <w14:lumMod w14:val="65000"/>
            <w14:lumOff w14:val="35000"/>
          </w14:schemeClr>
        </w14:solidFill>
      </w14:textFill>
    </w:rPr>
  </w:style>
  <w:style w:type="paragraph" w:styleId="10">
    <w:name w:val="heading 8"/>
    <w:basedOn w:val="1"/>
    <w:next w:val="1"/>
    <w:link w:val="30"/>
    <w:semiHidden/>
    <w:unhideWhenUsed/>
    <w:qFormat/>
    <w:uiPriority w:val="9"/>
    <w:pPr>
      <w:keepNext/>
      <w:keepLines/>
      <w:outlineLvl w:val="7"/>
    </w:pPr>
    <w:rPr>
      <w:rFonts w:asciiTheme="minorHAnsi" w:hAnsiTheme="minorHAnsi" w:eastAsiaTheme="minorEastAsia" w:cstheme="majorBidi"/>
      <w:color w:val="595959" w:themeColor="text1" w:themeTint="A6"/>
      <w:sz w:val="24"/>
      <w14:textFill>
        <w14:solidFill>
          <w14:schemeClr w14:val="tx1">
            <w14:lumMod w14:val="65000"/>
            <w14:lumOff w14:val="35000"/>
          </w14:schemeClr>
        </w14:solidFill>
      </w14:textFill>
    </w:rPr>
  </w:style>
  <w:style w:type="paragraph" w:styleId="11">
    <w:name w:val="heading 9"/>
    <w:basedOn w:val="1"/>
    <w:next w:val="1"/>
    <w:link w:val="31"/>
    <w:semiHidden/>
    <w:unhideWhenUsed/>
    <w:qFormat/>
    <w:uiPriority w:val="9"/>
    <w:pPr>
      <w:keepNext/>
      <w:keepLines/>
      <w:outlineLvl w:val="8"/>
    </w:pPr>
    <w:rPr>
      <w:rFonts w:asciiTheme="minorHAnsi" w:hAnsiTheme="minorHAnsi" w:eastAsiaTheme="majorEastAsia" w:cstheme="majorBidi"/>
      <w:color w:val="595959" w:themeColor="text1" w:themeTint="A6"/>
      <w:sz w:val="24"/>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41"/>
    <w:qFormat/>
    <w:uiPriority w:val="0"/>
    <w:pPr>
      <w:spacing w:line="588" w:lineRule="atLeast"/>
    </w:pPr>
    <w:rPr>
      <w:rFonts w:eastAsia="方正仿宋_GBK"/>
      <w:spacing w:val="6"/>
      <w:sz w:val="30"/>
      <w:szCs w:val="22"/>
    </w:rPr>
  </w:style>
  <w:style w:type="paragraph" w:styleId="12">
    <w:name w:val="Body Text"/>
    <w:basedOn w:val="1"/>
    <w:next w:val="13"/>
    <w:link w:val="42"/>
    <w:semiHidden/>
    <w:qFormat/>
    <w:uiPriority w:val="0"/>
    <w:rPr>
      <w:rFonts w:ascii="Arial" w:hAnsi="Arial" w:eastAsia="Arial" w:cs="Arial"/>
      <w:szCs w:val="21"/>
      <w:lang w:eastAsia="en-US"/>
    </w:rPr>
  </w:style>
  <w:style w:type="paragraph" w:styleId="13">
    <w:name w:val="toc 9"/>
    <w:basedOn w:val="1"/>
    <w:next w:val="1"/>
    <w:semiHidden/>
    <w:unhideWhenUsed/>
    <w:qFormat/>
    <w:uiPriority w:val="39"/>
    <w:pPr>
      <w:ind w:left="3360" w:leftChars="1600"/>
    </w:pPr>
  </w:style>
  <w:style w:type="paragraph" w:styleId="14">
    <w:name w:val="Body Text Indent"/>
    <w:basedOn w:val="1"/>
    <w:next w:val="15"/>
    <w:link w:val="43"/>
    <w:qFormat/>
    <w:uiPriority w:val="0"/>
    <w:pPr>
      <w:ind w:firstLine="600" w:firstLineChars="200"/>
    </w:pPr>
    <w:rPr>
      <w:rFonts w:eastAsia="仿宋_GB2312"/>
      <w:sz w:val="30"/>
    </w:rPr>
  </w:style>
  <w:style w:type="paragraph" w:styleId="15">
    <w:name w:val="envelope return"/>
    <w:basedOn w:val="1"/>
    <w:semiHidden/>
    <w:unhideWhenUsed/>
    <w:qFormat/>
    <w:uiPriority w:val="99"/>
    <w:pPr>
      <w:snapToGrid w:val="0"/>
    </w:pPr>
    <w:rPr>
      <w:rFonts w:asciiTheme="majorHAnsi" w:hAnsiTheme="majorHAnsi" w:eastAsiaTheme="majorEastAsia" w:cstheme="majorBidi"/>
    </w:rPr>
  </w:style>
  <w:style w:type="paragraph" w:styleId="16">
    <w:name w:val="footer"/>
    <w:basedOn w:val="1"/>
    <w:link w:val="45"/>
    <w:unhideWhenUsed/>
    <w:qFormat/>
    <w:uiPriority w:val="99"/>
    <w:pPr>
      <w:tabs>
        <w:tab w:val="center" w:pos="4153"/>
        <w:tab w:val="right" w:pos="8306"/>
      </w:tabs>
      <w:snapToGrid w:val="0"/>
      <w:jc w:val="left"/>
    </w:pPr>
    <w:rPr>
      <w:sz w:val="18"/>
      <w:szCs w:val="18"/>
    </w:rPr>
  </w:style>
  <w:style w:type="paragraph" w:styleId="17">
    <w:name w:val="header"/>
    <w:basedOn w:val="1"/>
    <w:link w:val="44"/>
    <w:unhideWhenUsed/>
    <w:qFormat/>
    <w:uiPriority w:val="99"/>
    <w:pPr>
      <w:tabs>
        <w:tab w:val="center" w:pos="4153"/>
        <w:tab w:val="right" w:pos="8306"/>
      </w:tabs>
      <w:snapToGrid w:val="0"/>
      <w:jc w:val="center"/>
    </w:pPr>
    <w:rPr>
      <w:sz w:val="18"/>
      <w:szCs w:val="18"/>
    </w:rPr>
  </w:style>
  <w:style w:type="paragraph" w:styleId="18">
    <w:name w:val="Subtitle"/>
    <w:basedOn w:val="1"/>
    <w:next w:val="1"/>
    <w:link w:val="33"/>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Normal (Web)"/>
    <w:basedOn w:val="1"/>
    <w:qFormat/>
    <w:uiPriority w:val="0"/>
    <w:pPr>
      <w:spacing w:before="100" w:beforeAutospacing="1" w:after="100" w:afterAutospacing="1"/>
      <w:jc w:val="left"/>
    </w:pPr>
    <w:rPr>
      <w:kern w:val="0"/>
      <w:sz w:val="24"/>
    </w:rPr>
  </w:style>
  <w:style w:type="paragraph" w:styleId="20">
    <w:name w:val="Title"/>
    <w:basedOn w:val="1"/>
    <w:next w:val="1"/>
    <w:link w:val="32"/>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3">
    <w:name w:val="标题 1 字符"/>
    <w:basedOn w:val="22"/>
    <w:link w:val="3"/>
    <w:qFormat/>
    <w:uiPriority w:val="9"/>
    <w:rPr>
      <w:rFonts w:asciiTheme="majorHAnsi" w:hAnsiTheme="majorHAnsi" w:eastAsiaTheme="majorEastAsia" w:cstheme="majorBidi"/>
      <w:color w:val="2F5597" w:themeColor="accent1" w:themeShade="BF"/>
      <w:sz w:val="48"/>
      <w:szCs w:val="48"/>
    </w:rPr>
  </w:style>
  <w:style w:type="character" w:customStyle="1" w:styleId="24">
    <w:name w:val="标题 2 字符"/>
    <w:basedOn w:val="22"/>
    <w:link w:val="4"/>
    <w:semiHidden/>
    <w:qFormat/>
    <w:uiPriority w:val="9"/>
    <w:rPr>
      <w:rFonts w:asciiTheme="majorHAnsi" w:hAnsiTheme="majorHAnsi" w:eastAsiaTheme="majorEastAsia" w:cstheme="majorBidi"/>
      <w:color w:val="2F5597" w:themeColor="accent1" w:themeShade="BF"/>
      <w:sz w:val="40"/>
      <w:szCs w:val="40"/>
    </w:rPr>
  </w:style>
  <w:style w:type="character" w:customStyle="1" w:styleId="25">
    <w:name w:val="标题 3 字符"/>
    <w:basedOn w:val="22"/>
    <w:link w:val="5"/>
    <w:semiHidden/>
    <w:qFormat/>
    <w:uiPriority w:val="9"/>
    <w:rPr>
      <w:rFonts w:asciiTheme="majorHAnsi" w:hAnsiTheme="majorHAnsi" w:eastAsiaTheme="majorEastAsia" w:cstheme="majorBidi"/>
      <w:color w:val="2F5597" w:themeColor="accent1" w:themeShade="BF"/>
      <w:sz w:val="32"/>
      <w:szCs w:val="32"/>
    </w:rPr>
  </w:style>
  <w:style w:type="character" w:customStyle="1" w:styleId="26">
    <w:name w:val="标题 4 字符"/>
    <w:basedOn w:val="22"/>
    <w:link w:val="6"/>
    <w:semiHidden/>
    <w:qFormat/>
    <w:uiPriority w:val="9"/>
    <w:rPr>
      <w:rFonts w:cstheme="majorBidi"/>
      <w:color w:val="2F5597" w:themeColor="accent1" w:themeShade="BF"/>
      <w:sz w:val="28"/>
      <w:szCs w:val="28"/>
    </w:rPr>
  </w:style>
  <w:style w:type="character" w:customStyle="1" w:styleId="27">
    <w:name w:val="标题 5 字符"/>
    <w:basedOn w:val="22"/>
    <w:link w:val="7"/>
    <w:semiHidden/>
    <w:qFormat/>
    <w:uiPriority w:val="9"/>
    <w:rPr>
      <w:rFonts w:cstheme="majorBidi"/>
      <w:color w:val="2F5597" w:themeColor="accent1" w:themeShade="BF"/>
      <w:sz w:val="24"/>
      <w:szCs w:val="24"/>
    </w:rPr>
  </w:style>
  <w:style w:type="character" w:customStyle="1" w:styleId="28">
    <w:name w:val="标题 6 字符"/>
    <w:basedOn w:val="22"/>
    <w:link w:val="8"/>
    <w:semiHidden/>
    <w:qFormat/>
    <w:uiPriority w:val="9"/>
    <w:rPr>
      <w:rFonts w:cstheme="majorBidi"/>
      <w:b/>
      <w:bCs/>
      <w:color w:val="2F5597" w:themeColor="accent1" w:themeShade="BF"/>
      <w:sz w:val="24"/>
      <w:szCs w:val="24"/>
    </w:rPr>
  </w:style>
  <w:style w:type="character" w:customStyle="1" w:styleId="29">
    <w:name w:val="标题 7 字符"/>
    <w:basedOn w:val="22"/>
    <w:link w:val="9"/>
    <w:semiHidden/>
    <w:qFormat/>
    <w:uiPriority w:val="9"/>
    <w:rPr>
      <w:rFonts w:cstheme="majorBidi"/>
      <w:b/>
      <w:bCs/>
      <w:color w:val="595959" w:themeColor="text1" w:themeTint="A6"/>
      <w:sz w:val="24"/>
      <w:szCs w:val="24"/>
      <w14:textFill>
        <w14:solidFill>
          <w14:schemeClr w14:val="tx1">
            <w14:lumMod w14:val="65000"/>
            <w14:lumOff w14:val="35000"/>
          </w14:schemeClr>
        </w14:solidFill>
      </w14:textFill>
    </w:rPr>
  </w:style>
  <w:style w:type="character" w:customStyle="1" w:styleId="30">
    <w:name w:val="标题 8 字符"/>
    <w:basedOn w:val="22"/>
    <w:link w:val="10"/>
    <w:semiHidden/>
    <w:qFormat/>
    <w:uiPriority w:val="9"/>
    <w:rPr>
      <w:rFonts w:cstheme="majorBidi"/>
      <w:color w:val="595959" w:themeColor="text1" w:themeTint="A6"/>
      <w:sz w:val="24"/>
      <w:szCs w:val="24"/>
      <w14:textFill>
        <w14:solidFill>
          <w14:schemeClr w14:val="tx1">
            <w14:lumMod w14:val="65000"/>
            <w14:lumOff w14:val="35000"/>
          </w14:schemeClr>
        </w14:solidFill>
      </w14:textFill>
    </w:rPr>
  </w:style>
  <w:style w:type="character" w:customStyle="1" w:styleId="31">
    <w:name w:val="标题 9 字符"/>
    <w:basedOn w:val="22"/>
    <w:link w:val="11"/>
    <w:semiHidden/>
    <w:qFormat/>
    <w:uiPriority w:val="9"/>
    <w:rPr>
      <w:rFonts w:eastAsiaTheme="majorEastAsia" w:cstheme="majorBidi"/>
      <w:color w:val="595959" w:themeColor="text1" w:themeTint="A6"/>
      <w:sz w:val="24"/>
      <w:szCs w:val="24"/>
      <w14:textFill>
        <w14:solidFill>
          <w14:schemeClr w14:val="tx1">
            <w14:lumMod w14:val="65000"/>
            <w14:lumOff w14:val="35000"/>
          </w14:schemeClr>
        </w14:solidFill>
      </w14:textFill>
    </w:rPr>
  </w:style>
  <w:style w:type="character" w:customStyle="1" w:styleId="32">
    <w:name w:val="标题 字符"/>
    <w:basedOn w:val="22"/>
    <w:link w:val="20"/>
    <w:qFormat/>
    <w:uiPriority w:val="10"/>
    <w:rPr>
      <w:rFonts w:asciiTheme="majorHAnsi" w:hAnsiTheme="majorHAnsi" w:eastAsiaTheme="majorEastAsia" w:cstheme="majorBidi"/>
      <w:spacing w:val="-10"/>
      <w:kern w:val="28"/>
      <w:sz w:val="56"/>
      <w:szCs w:val="56"/>
    </w:rPr>
  </w:style>
  <w:style w:type="character" w:customStyle="1" w:styleId="33">
    <w:name w:val="副标题 字符"/>
    <w:basedOn w:val="22"/>
    <w:link w:val="18"/>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4">
    <w:name w:val="Quote"/>
    <w:basedOn w:val="1"/>
    <w:next w:val="1"/>
    <w:link w:val="35"/>
    <w:qFormat/>
    <w:uiPriority w:val="29"/>
    <w:pPr>
      <w:spacing w:before="160" w:after="160"/>
      <w:jc w:val="center"/>
    </w:pPr>
    <w:rPr>
      <w:rFonts w:ascii="Times New Roman" w:hAnsi="Times New Roman" w:eastAsia="仿宋_GB2312"/>
      <w:i/>
      <w:iCs/>
      <w:color w:val="404040" w:themeColor="text1" w:themeTint="BF"/>
      <w:sz w:val="24"/>
      <w14:textFill>
        <w14:solidFill>
          <w14:schemeClr w14:val="tx1">
            <w14:lumMod w14:val="75000"/>
            <w14:lumOff w14:val="25000"/>
          </w14:schemeClr>
        </w14:solidFill>
      </w14:textFill>
    </w:rPr>
  </w:style>
  <w:style w:type="character" w:customStyle="1" w:styleId="35">
    <w:name w:val="引用 字符"/>
    <w:basedOn w:val="22"/>
    <w:link w:val="34"/>
    <w:qFormat/>
    <w:uiPriority w:val="29"/>
    <w:rPr>
      <w:rFonts w:ascii="Times New Roman" w:hAnsi="Times New Roman" w:eastAsia="仿宋_GB2312" w:cs="Times New Roman"/>
      <w:i/>
      <w:iCs/>
      <w:color w:val="404040" w:themeColor="text1" w:themeTint="BF"/>
      <w:sz w:val="24"/>
      <w:szCs w:val="24"/>
      <w14:textFill>
        <w14:solidFill>
          <w14:schemeClr w14:val="tx1">
            <w14:lumMod w14:val="75000"/>
            <w14:lumOff w14:val="25000"/>
          </w14:schemeClr>
        </w14:solidFill>
      </w14:textFill>
    </w:rPr>
  </w:style>
  <w:style w:type="paragraph" w:styleId="36">
    <w:name w:val="List Paragraph"/>
    <w:basedOn w:val="1"/>
    <w:qFormat/>
    <w:uiPriority w:val="34"/>
    <w:pPr>
      <w:ind w:left="720"/>
      <w:contextualSpacing/>
    </w:pPr>
    <w:rPr>
      <w:rFonts w:ascii="Times New Roman" w:hAnsi="Times New Roman" w:eastAsia="仿宋_GB2312"/>
      <w:sz w:val="24"/>
    </w:rPr>
  </w:style>
  <w:style w:type="character" w:customStyle="1" w:styleId="37">
    <w:name w:val="明显强调1"/>
    <w:basedOn w:val="22"/>
    <w:qFormat/>
    <w:uiPriority w:val="21"/>
    <w:rPr>
      <w:i/>
      <w:iCs/>
      <w:color w:val="2F5597" w:themeColor="accent1" w:themeShade="BF"/>
    </w:rPr>
  </w:style>
  <w:style w:type="paragraph" w:styleId="38">
    <w:name w:val="Intense Quote"/>
    <w:basedOn w:val="1"/>
    <w:next w:val="1"/>
    <w:link w:val="39"/>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rFonts w:ascii="Times New Roman" w:hAnsi="Times New Roman" w:eastAsia="仿宋_GB2312"/>
      <w:i/>
      <w:iCs/>
      <w:color w:val="2F5597" w:themeColor="accent1" w:themeShade="BF"/>
      <w:sz w:val="24"/>
    </w:rPr>
  </w:style>
  <w:style w:type="character" w:customStyle="1" w:styleId="39">
    <w:name w:val="明显引用 字符"/>
    <w:basedOn w:val="22"/>
    <w:link w:val="38"/>
    <w:qFormat/>
    <w:uiPriority w:val="30"/>
    <w:rPr>
      <w:rFonts w:ascii="Times New Roman" w:hAnsi="Times New Roman" w:eastAsia="仿宋_GB2312" w:cs="Times New Roman"/>
      <w:i/>
      <w:iCs/>
      <w:color w:val="2F5597" w:themeColor="accent1" w:themeShade="BF"/>
      <w:sz w:val="24"/>
      <w:szCs w:val="24"/>
    </w:rPr>
  </w:style>
  <w:style w:type="character" w:customStyle="1" w:styleId="40">
    <w:name w:val="明显参考1"/>
    <w:basedOn w:val="22"/>
    <w:qFormat/>
    <w:uiPriority w:val="32"/>
    <w:rPr>
      <w:b/>
      <w:bCs/>
      <w:smallCaps/>
      <w:color w:val="2F5597" w:themeColor="accent1" w:themeShade="BF"/>
      <w:spacing w:val="5"/>
    </w:rPr>
  </w:style>
  <w:style w:type="character" w:customStyle="1" w:styleId="41">
    <w:name w:val="正文文本缩进 2 字符"/>
    <w:basedOn w:val="22"/>
    <w:link w:val="2"/>
    <w:qFormat/>
    <w:uiPriority w:val="0"/>
    <w:rPr>
      <w:rFonts w:ascii="Calibri" w:hAnsi="Calibri" w:eastAsia="方正仿宋_GBK" w:cs="Times New Roman"/>
      <w:spacing w:val="6"/>
      <w:sz w:val="30"/>
    </w:rPr>
  </w:style>
  <w:style w:type="character" w:customStyle="1" w:styleId="42">
    <w:name w:val="正文文本 字符"/>
    <w:basedOn w:val="22"/>
    <w:link w:val="12"/>
    <w:semiHidden/>
    <w:qFormat/>
    <w:uiPriority w:val="0"/>
    <w:rPr>
      <w:rFonts w:ascii="Arial" w:hAnsi="Arial" w:eastAsia="Arial" w:cs="Arial"/>
      <w:szCs w:val="21"/>
      <w:lang w:eastAsia="en-US"/>
    </w:rPr>
  </w:style>
  <w:style w:type="character" w:customStyle="1" w:styleId="43">
    <w:name w:val="正文文本缩进 字符"/>
    <w:basedOn w:val="22"/>
    <w:link w:val="14"/>
    <w:qFormat/>
    <w:uiPriority w:val="0"/>
    <w:rPr>
      <w:rFonts w:ascii="Calibri" w:hAnsi="Calibri" w:eastAsia="仿宋_GB2312" w:cs="Times New Roman"/>
      <w:sz w:val="30"/>
      <w:szCs w:val="24"/>
    </w:rPr>
  </w:style>
  <w:style w:type="character" w:customStyle="1" w:styleId="44">
    <w:name w:val="页眉 字符"/>
    <w:basedOn w:val="22"/>
    <w:link w:val="17"/>
    <w:qFormat/>
    <w:uiPriority w:val="99"/>
    <w:rPr>
      <w:rFonts w:ascii="Calibri" w:hAnsi="Calibri" w:eastAsia="宋体" w:cs="Times New Roman"/>
      <w:sz w:val="18"/>
      <w:szCs w:val="18"/>
    </w:rPr>
  </w:style>
  <w:style w:type="character" w:customStyle="1" w:styleId="45">
    <w:name w:val="页脚 字符"/>
    <w:basedOn w:val="22"/>
    <w:link w:val="16"/>
    <w:qFormat/>
    <w:uiPriority w:val="99"/>
    <w:rPr>
      <w:rFonts w:ascii="Calibri" w:hAnsi="Calibri" w:eastAsia="宋体" w:cs="Times New Roman"/>
      <w:sz w:val="18"/>
      <w:szCs w:val="18"/>
    </w:rPr>
  </w:style>
  <w:style w:type="paragraph" w:customStyle="1" w:styleId="46">
    <w:name w:val="列出段落1"/>
    <w:basedOn w:val="1"/>
    <w:next w:val="1"/>
    <w:qFormat/>
    <w:uiPriority w:val="34"/>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2313</Words>
  <Characters>2581</Characters>
  <Lines>19</Lines>
  <Paragraphs>5</Paragraphs>
  <TotalTime>80</TotalTime>
  <ScaleCrop>false</ScaleCrop>
  <LinksUpToDate>false</LinksUpToDate>
  <CharactersWithSpaces>2642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2025-11-11T17:05:00Z</dcterms:created>
  <dc:creator>v</dc:creator>
  <cp:lastModifiedBy>～小太阳。</cp:lastModifiedBy>
  <cp:lastPrinted>2025-12-18T02:31:56Z</cp:lastPrinted>
  <dcterms:modified xsi:type="dcterms:W3CDTF">2025-12-18T03:36:23Z</dcterms:modified>
  <cp:revision>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eyJoZGlkIjoiN2JhZWQ5OTNmMDkxZjMwYjU4ZmUwNzc3NTdiZGUwY2IiLCJ1c2VySWQiOiIxMDc2NTE4NzkzIn0=</vt:lpwstr>
  </property>
  <property fmtid="{D5CDD505-2E9C-101B-9397-08002B2CF9AE}" pid="3" name="KSOProductBuildVer">
    <vt:lpwstr>2052-12.1.0.24034</vt:lpwstr>
  </property>
  <property fmtid="{D5CDD505-2E9C-101B-9397-08002B2CF9AE}" pid="4" name="ICV">
    <vt:lpwstr>A231BDDC759B411584F6EF9DD0B1EFFA_12</vt:lpwstr>
  </property>
</Properties>
</file>