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210CDA">
      <w:pPr>
        <w:pStyle w:val="1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0"/>
        <w:rPr>
          <w:rFonts w:ascii="Times New Roman" w:hAnsi="Times New Roman" w:eastAsia="方正小标宋_GBK" w:cs="Times New Roman"/>
          <w:color w:val="000000"/>
          <w:sz w:val="44"/>
          <w:lang w:eastAsia="zh-CN"/>
        </w:rPr>
      </w:pPr>
      <w:bookmarkStart w:id="0" w:name="_Toc2123423747_WPSOffice_Level1"/>
      <w:bookmarkStart w:id="1" w:name="_Toc178124550_WPSOffice_Level1"/>
      <w:bookmarkStart w:id="2" w:name="_Toc1670908148_WPSOffice_Level1"/>
      <w:bookmarkStart w:id="3" w:name="_Toc678217306_WPSOffice_Level1"/>
    </w:p>
    <w:p w14:paraId="10C1F444">
      <w:pPr>
        <w:pStyle w:val="13"/>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ascii="Times New Roman" w:hAnsi="Times New Roman" w:eastAsia="方正小标宋_GBK" w:cs="Times New Roman"/>
          <w:color w:val="000000"/>
          <w:sz w:val="44"/>
          <w:lang w:eastAsia="zh-CN"/>
        </w:rPr>
      </w:pPr>
    </w:p>
    <w:p w14:paraId="0D6DAAD5">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ascii="Times New Roman" w:hAnsi="Times New Roman" w:eastAsia="方正小标宋_GBK" w:cs="Times New Roman"/>
          <w:color w:val="000000"/>
          <w:sz w:val="44"/>
          <w:lang w:eastAsia="zh-CN"/>
        </w:rPr>
      </w:pPr>
    </w:p>
    <w:p w14:paraId="782B2B5B">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ascii="Times New Roman" w:hAnsi="Times New Roman" w:eastAsia="方正小标宋_GBK" w:cs="Times New Roman"/>
          <w:color w:val="000000"/>
          <w:sz w:val="44"/>
          <w:lang w:eastAsia="zh-CN"/>
        </w:rPr>
      </w:pPr>
    </w:p>
    <w:p w14:paraId="3A335C21">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ascii="Times New Roman" w:hAnsi="Times New Roman" w:eastAsia="方正小标宋_GBK" w:cs="Times New Roman"/>
          <w:color w:val="000000"/>
          <w:sz w:val="44"/>
          <w:lang w:eastAsia="zh-CN"/>
        </w:rPr>
      </w:pPr>
    </w:p>
    <w:p w14:paraId="50128DA1">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Fonts w:ascii="Times New Roman" w:hAnsi="Times New Roman" w:eastAsia="方正小标宋_GBK" w:cs="Times New Roman"/>
          <w:color w:val="000000"/>
          <w:sz w:val="44"/>
          <w:lang w:eastAsia="zh-CN"/>
        </w:rPr>
      </w:pPr>
    </w:p>
    <w:p w14:paraId="27A09443">
      <w:pPr>
        <w:pStyle w:val="1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0"/>
      </w:pPr>
    </w:p>
    <w:p w14:paraId="4EC6D649">
      <w:pPr>
        <w:spacing w:line="600" w:lineRule="exact"/>
        <w:jc w:val="center"/>
        <w:rPr>
          <w:rFonts w:ascii="仿宋_GB2312" w:eastAsia="仿宋_GB2312"/>
          <w:sz w:val="32"/>
        </w:rPr>
      </w:pPr>
      <w:r>
        <w:rPr>
          <w:rFonts w:hint="eastAsia" w:ascii="仿宋_GB2312" w:eastAsia="仿宋_GB2312"/>
          <w:sz w:val="32"/>
        </w:rPr>
        <w:t>常财审</w:t>
      </w:r>
      <w:r>
        <w:rPr>
          <w:rFonts w:hint="eastAsia" w:ascii="仿宋_GB2312" w:hAnsi="仿宋_GB2312" w:eastAsia="仿宋_GB2312"/>
          <w:sz w:val="32"/>
        </w:rPr>
        <w:t>〔2025〕预</w:t>
      </w:r>
      <w:r>
        <w:rPr>
          <w:rFonts w:hint="eastAsia" w:ascii="仿宋_GB2312" w:eastAsia="仿宋_GB2312"/>
          <w:sz w:val="32"/>
        </w:rPr>
        <w:t>字</w:t>
      </w:r>
      <w:r>
        <w:rPr>
          <w:rFonts w:hint="eastAsia" w:ascii="仿宋_GB2312" w:eastAsia="仿宋_GB2312"/>
          <w:sz w:val="32"/>
          <w:lang w:val="en-US" w:eastAsia="zh-CN"/>
        </w:rPr>
        <w:t>90</w:t>
      </w:r>
      <w:r>
        <w:rPr>
          <w:rFonts w:hint="eastAsia" w:ascii="仿宋_GB2312" w:eastAsia="仿宋_GB2312"/>
          <w:sz w:val="32"/>
        </w:rPr>
        <w:t>号</w:t>
      </w:r>
    </w:p>
    <w:p w14:paraId="27ED1EE4">
      <w:pPr>
        <w:pStyle w:val="12"/>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ascii="Times New Roman" w:hAnsi="Times New Roman" w:eastAsia="方正小标宋_GBK" w:cs="Times New Roman"/>
          <w:color w:val="000000"/>
          <w:sz w:val="44"/>
          <w:lang w:eastAsia="zh-CN"/>
        </w:rPr>
      </w:pPr>
    </w:p>
    <w:p w14:paraId="55BFDDBB">
      <w:pPr>
        <w:pStyle w:val="12"/>
        <w:spacing w:line="600" w:lineRule="exact"/>
        <w:jc w:val="center"/>
        <w:outlineLvl w:val="0"/>
        <w:rPr>
          <w:rFonts w:hint="eastAsia" w:ascii="宋体" w:hAnsi="宋体" w:eastAsia="宋体" w:cs="宋体"/>
          <w:color w:val="000000"/>
          <w:sz w:val="44"/>
          <w:lang w:eastAsia="zh-CN"/>
        </w:rPr>
      </w:pPr>
      <w:r>
        <w:rPr>
          <w:rFonts w:hint="eastAsia" w:ascii="宋体" w:hAnsi="宋体" w:eastAsia="宋体" w:cs="宋体"/>
          <w:color w:val="000000"/>
          <w:sz w:val="44"/>
          <w:lang w:eastAsia="zh-CN"/>
        </w:rPr>
        <w:t>关于柳叶湖岩子堰公寓式安置小区南向</w:t>
      </w:r>
    </w:p>
    <w:p w14:paraId="352A6C43">
      <w:pPr>
        <w:pStyle w:val="12"/>
        <w:spacing w:line="600" w:lineRule="exact"/>
        <w:jc w:val="center"/>
        <w:outlineLvl w:val="0"/>
        <w:rPr>
          <w:rFonts w:hint="eastAsia" w:ascii="宋体" w:hAnsi="宋体" w:eastAsia="宋体" w:cs="宋体"/>
          <w:color w:val="000000"/>
          <w:sz w:val="44"/>
          <w:lang w:eastAsia="zh-CN"/>
        </w:rPr>
      </w:pPr>
      <w:r>
        <w:rPr>
          <w:rFonts w:hint="eastAsia" w:ascii="宋体" w:hAnsi="宋体" w:eastAsia="宋体" w:cs="宋体"/>
          <w:color w:val="000000"/>
          <w:sz w:val="44"/>
          <w:lang w:eastAsia="zh-CN"/>
        </w:rPr>
        <w:t>门脸工程预算执行的</w:t>
      </w:r>
      <w:bookmarkEnd w:id="0"/>
      <w:bookmarkEnd w:id="1"/>
      <w:bookmarkEnd w:id="2"/>
      <w:bookmarkEnd w:id="3"/>
      <w:r>
        <w:rPr>
          <w:rFonts w:hint="eastAsia" w:ascii="宋体" w:hAnsi="宋体" w:eastAsia="宋体" w:cs="宋体"/>
          <w:color w:val="000000"/>
          <w:sz w:val="44"/>
          <w:lang w:eastAsia="zh-CN"/>
        </w:rPr>
        <w:t>评审报告</w:t>
      </w:r>
    </w:p>
    <w:p w14:paraId="37880DBF">
      <w:pPr>
        <w:spacing w:line="600" w:lineRule="exact"/>
        <w:ind w:firstLine="640" w:firstLineChars="200"/>
        <w:rPr>
          <w:rFonts w:ascii="Times New Roman" w:hAnsi="Times New Roman" w:eastAsia="仿宋_GB2312"/>
          <w:color w:val="000000"/>
          <w:sz w:val="32"/>
          <w:szCs w:val="32"/>
        </w:rPr>
      </w:pPr>
      <w:bookmarkStart w:id="33" w:name="_GoBack"/>
      <w:bookmarkEnd w:id="33"/>
    </w:p>
    <w:p w14:paraId="79843632">
      <w:pPr>
        <w:overflowPunct w:val="0"/>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常德市财政局</w:t>
      </w:r>
      <w:r>
        <w:rPr>
          <w:rFonts w:hint="eastAsia" w:ascii="仿宋_GB2312" w:hAnsi="仿宋_GB2312" w:eastAsia="仿宋_GB2312" w:cs="仿宋_GB2312"/>
          <w:sz w:val="32"/>
          <w:szCs w:val="32"/>
          <w:lang w:val="en-US" w:eastAsia="zh-CN"/>
        </w:rPr>
        <w:t>综合规划</w:t>
      </w:r>
      <w:r>
        <w:rPr>
          <w:rFonts w:hint="eastAsia" w:ascii="仿宋_GB2312" w:hAnsi="仿宋_GB2312" w:eastAsia="仿宋_GB2312" w:cs="仿宋_GB2312"/>
          <w:sz w:val="32"/>
          <w:szCs w:val="32"/>
        </w:rPr>
        <w:t>科</w:t>
      </w:r>
      <w:r>
        <w:rPr>
          <w:rFonts w:hint="eastAsia" w:ascii="仿宋_GB2312" w:hAnsi="仿宋_GB2312" w:eastAsia="仿宋_GB2312" w:cs="仿宋_GB2312"/>
          <w:color w:val="000000"/>
          <w:sz w:val="32"/>
          <w:szCs w:val="32"/>
        </w:rPr>
        <w:t>：</w:t>
      </w:r>
    </w:p>
    <w:p w14:paraId="602005E3">
      <w:pPr>
        <w:overflowPunct w:val="0"/>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柳叶湖岩子堰公寓式安置小区南向门脸工程</w:t>
      </w:r>
      <w:r>
        <w:rPr>
          <w:rFonts w:hint="eastAsia" w:ascii="仿宋_GB2312" w:hAnsi="仿宋_GB2312" w:eastAsia="仿宋_GB2312" w:cs="仿宋_GB2312"/>
          <w:color w:val="000000"/>
          <w:sz w:val="32"/>
          <w:szCs w:val="32"/>
        </w:rPr>
        <w:t>》相关资料收悉，按照客观、公正、科学的评审原则，我中心组织对该项目开展预算执行评审，具体情况如下：</w:t>
      </w:r>
    </w:p>
    <w:p w14:paraId="478EBAB1">
      <w:pPr>
        <w:pStyle w:val="14"/>
        <w:tabs>
          <w:tab w:val="left" w:pos="6266"/>
        </w:tabs>
        <w:spacing w:line="600" w:lineRule="exact"/>
        <w:ind w:firstLine="640"/>
        <w:outlineLvl w:val="0"/>
        <w:rPr>
          <w:rFonts w:hint="eastAsia" w:ascii="黑体" w:hAnsi="黑体" w:eastAsia="黑体" w:cs="黑体"/>
          <w:color w:val="000000"/>
          <w:sz w:val="32"/>
          <w:szCs w:val="32"/>
        </w:rPr>
      </w:pPr>
      <w:bookmarkStart w:id="4" w:name="_Toc445877422_WPSOffice_Level1"/>
      <w:bookmarkStart w:id="5" w:name="_Toc1862220243_WPSOffice_Level1"/>
      <w:bookmarkStart w:id="6" w:name="_Toc891472834_WPSOffice_Level1"/>
      <w:bookmarkStart w:id="7" w:name="_Toc215626143_WPSOffice_Level1"/>
      <w:r>
        <w:rPr>
          <w:rFonts w:hint="eastAsia" w:ascii="黑体" w:hAnsi="黑体" w:eastAsia="黑体" w:cs="黑体"/>
          <w:color w:val="000000"/>
          <w:sz w:val="32"/>
          <w:szCs w:val="32"/>
        </w:rPr>
        <w:t>一、项目概况</w:t>
      </w:r>
      <w:bookmarkEnd w:id="4"/>
      <w:bookmarkEnd w:id="5"/>
      <w:bookmarkEnd w:id="6"/>
      <w:bookmarkEnd w:id="7"/>
    </w:p>
    <w:p w14:paraId="499D015A">
      <w:pPr>
        <w:ind w:firstLine="643" w:firstLineChars="200"/>
        <w:outlineLvl w:val="1"/>
        <w:rPr>
          <w:rFonts w:ascii="Times New Roman" w:hAnsi="Times New Roman" w:eastAsia="楷体_GB2312"/>
          <w:b/>
          <w:bCs/>
          <w:sz w:val="32"/>
          <w:szCs w:val="32"/>
        </w:rPr>
      </w:pPr>
      <w:bookmarkStart w:id="8" w:name="_Toc1067922961_WPSOffice_Level2"/>
      <w:bookmarkStart w:id="9" w:name="_Toc472741964_WPSOffice_Level2"/>
      <w:bookmarkStart w:id="10" w:name="_Toc222933592_WPSOffice_Level2"/>
      <w:bookmarkStart w:id="11" w:name="_Toc90632560_WPSOffice_Level2"/>
      <w:r>
        <w:rPr>
          <w:rFonts w:ascii="Times New Roman" w:hAnsi="Times New Roman" w:eastAsia="楷体_GB2312"/>
          <w:b/>
          <w:bCs/>
          <w:sz w:val="32"/>
          <w:szCs w:val="32"/>
        </w:rPr>
        <w:t>（一）项目基本情况</w:t>
      </w:r>
      <w:bookmarkEnd w:id="8"/>
      <w:bookmarkEnd w:id="9"/>
      <w:bookmarkEnd w:id="10"/>
      <w:bookmarkEnd w:id="11"/>
    </w:p>
    <w:p w14:paraId="2749A680">
      <w:pPr>
        <w:ind w:firstLine="640" w:firstLineChars="200"/>
        <w:rPr>
          <w:rFonts w:hint="eastAsia" w:ascii="仿宋_GB2312" w:hAnsi="仿宋_GB2312" w:eastAsia="仿宋_GB2312" w:cs="仿宋_GB2312"/>
          <w:color w:val="000000"/>
          <w:sz w:val="32"/>
          <w:szCs w:val="32"/>
          <w:highlight w:val="yellow"/>
        </w:rPr>
      </w:pPr>
      <w:r>
        <w:rPr>
          <w:rFonts w:hint="eastAsia" w:ascii="仿宋_GB2312" w:hAnsi="仿宋_GB2312" w:eastAsia="仿宋_GB2312" w:cs="仿宋_GB2312"/>
          <w:sz w:val="32"/>
          <w:szCs w:val="32"/>
        </w:rPr>
        <w:t>柳叶湖岩子堰公寓式安置小区南向门脸工程</w:t>
      </w:r>
      <w:r>
        <w:rPr>
          <w:rFonts w:hint="eastAsia" w:ascii="仿宋_GB2312" w:hAnsi="仿宋_GB2312" w:eastAsia="仿宋_GB2312" w:cs="仿宋_GB2312"/>
          <w:sz w:val="32"/>
          <w:szCs w:val="32"/>
          <w:lang w:val="en-US" w:eastAsia="zh-CN"/>
        </w:rPr>
        <w:t>属于</w:t>
      </w:r>
      <w:r>
        <w:rPr>
          <w:rFonts w:hint="eastAsia" w:ascii="仿宋_GB2312" w:hAnsi="仿宋_GB2312" w:eastAsia="仿宋_GB2312" w:cs="仿宋_GB2312"/>
          <w:sz w:val="32"/>
          <w:szCs w:val="32"/>
        </w:rPr>
        <w:t>常发改</w:t>
      </w:r>
      <w:r>
        <w:rPr>
          <w:rFonts w:hint="eastAsia" w:ascii="仿宋_GB2312" w:hAnsi="仿宋_GB2312" w:eastAsia="仿宋_GB2312" w:cs="仿宋_GB2312"/>
          <w:sz w:val="32"/>
          <w:szCs w:val="32"/>
          <w:lang w:eastAsia="zh-CN"/>
        </w:rPr>
        <w:t>投</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09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275</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highlight w:val="none"/>
          <w:lang w:eastAsia="zh-CN"/>
        </w:rPr>
        <w:t>批复建设内容之一</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根据政府投资项目工程变更确认表明确该变更属于安置小区未完善附属工程</w:t>
      </w:r>
      <w:r>
        <w:rPr>
          <w:rFonts w:hint="eastAsia" w:ascii="仿宋_GB2312" w:hAnsi="仿宋_GB2312" w:eastAsia="仿宋_GB2312" w:cs="仿宋_GB2312"/>
          <w:color w:val="000000"/>
          <w:sz w:val="32"/>
          <w:szCs w:val="32"/>
        </w:rPr>
        <w:t>。</w:t>
      </w:r>
    </w:p>
    <w:p w14:paraId="4F8536F2">
      <w:pPr>
        <w:ind w:firstLine="643" w:firstLineChars="200"/>
        <w:outlineLvl w:val="1"/>
        <w:rPr>
          <w:rFonts w:ascii="Times New Roman" w:hAnsi="Times New Roman" w:eastAsia="楷体_GB2312"/>
          <w:b/>
          <w:bCs/>
          <w:sz w:val="32"/>
          <w:szCs w:val="32"/>
        </w:rPr>
      </w:pPr>
      <w:bookmarkStart w:id="12" w:name="_Toc1094448419_WPSOffice_Level2"/>
      <w:bookmarkStart w:id="13" w:name="_Toc1069041809_WPSOffice_Level2"/>
      <w:bookmarkStart w:id="14" w:name="_Toc1446308865_WPSOffice_Level2"/>
      <w:bookmarkStart w:id="15" w:name="_Toc830963703_WPSOffice_Level2"/>
      <w:r>
        <w:rPr>
          <w:rFonts w:ascii="Times New Roman" w:hAnsi="Times New Roman" w:eastAsia="楷体_GB2312"/>
          <w:b/>
          <w:bCs/>
          <w:sz w:val="32"/>
          <w:szCs w:val="32"/>
        </w:rPr>
        <w:t>（二）项目主要内容及申报预算情况</w:t>
      </w:r>
      <w:bookmarkEnd w:id="12"/>
      <w:bookmarkEnd w:id="13"/>
      <w:bookmarkEnd w:id="14"/>
      <w:bookmarkEnd w:id="15"/>
    </w:p>
    <w:p w14:paraId="0E35B847">
      <w:pPr>
        <w:overflowPunct w:val="0"/>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为消除安全隐患，</w:t>
      </w:r>
      <w:r>
        <w:rPr>
          <w:rFonts w:hint="eastAsia" w:ascii="仿宋_GB2312" w:hAnsi="仿宋_GB2312" w:eastAsia="仿宋_GB2312" w:cs="仿宋_GB2312"/>
          <w:color w:val="000000"/>
          <w:sz w:val="32"/>
          <w:szCs w:val="32"/>
          <w:lang w:val="en-US" w:eastAsia="zh-CN"/>
        </w:rPr>
        <w:t>提升业主住居品质，湖南泰达置业有限公司</w:t>
      </w:r>
      <w:r>
        <w:rPr>
          <w:rFonts w:hint="eastAsia" w:ascii="仿宋_GB2312" w:hAnsi="仿宋_GB2312" w:eastAsia="仿宋_GB2312" w:cs="仿宋_GB2312"/>
          <w:color w:val="000000"/>
          <w:sz w:val="32"/>
          <w:szCs w:val="32"/>
        </w:rPr>
        <w:t>申报</w:t>
      </w:r>
      <w:r>
        <w:rPr>
          <w:rFonts w:hint="eastAsia" w:ascii="仿宋_GB2312" w:hAnsi="仿宋_GB2312" w:eastAsia="仿宋_GB2312" w:cs="仿宋_GB2312"/>
          <w:color w:val="000000"/>
          <w:sz w:val="32"/>
          <w:szCs w:val="32"/>
          <w:lang w:val="en-US" w:eastAsia="zh-CN"/>
        </w:rPr>
        <w:t>该安置小区南向门脸工程</w:t>
      </w:r>
      <w:r>
        <w:rPr>
          <w:rFonts w:hint="eastAsia" w:ascii="仿宋_GB2312" w:hAnsi="仿宋_GB2312" w:eastAsia="仿宋_GB2312" w:cs="仿宋_GB2312"/>
          <w:color w:val="000000"/>
          <w:sz w:val="32"/>
          <w:szCs w:val="32"/>
        </w:rPr>
        <w:t>，估算资金约</w:t>
      </w:r>
      <w:r>
        <w:rPr>
          <w:rFonts w:hint="eastAsia" w:ascii="仿宋_GB2312" w:hAnsi="仿宋_GB2312" w:eastAsia="仿宋_GB2312" w:cs="仿宋_GB2312"/>
          <w:color w:val="000000"/>
          <w:sz w:val="32"/>
          <w:szCs w:val="32"/>
          <w:lang w:val="en-US" w:eastAsia="zh-CN"/>
        </w:rPr>
        <w:t>6.62</w:t>
      </w:r>
      <w:r>
        <w:rPr>
          <w:rFonts w:hint="eastAsia" w:ascii="仿宋_GB2312" w:hAnsi="仿宋_GB2312" w:eastAsia="仿宋_GB2312" w:cs="仿宋_GB2312"/>
          <w:color w:val="000000"/>
          <w:sz w:val="32"/>
          <w:szCs w:val="32"/>
        </w:rPr>
        <w:t>万元。</w:t>
      </w:r>
    </w:p>
    <w:p w14:paraId="56ED41FE">
      <w:pPr>
        <w:pStyle w:val="14"/>
        <w:tabs>
          <w:tab w:val="left" w:pos="6266"/>
        </w:tabs>
        <w:spacing w:line="600" w:lineRule="exact"/>
        <w:ind w:firstLine="640"/>
        <w:outlineLvl w:val="0"/>
        <w:rPr>
          <w:rFonts w:hint="eastAsia" w:ascii="黑体" w:hAnsi="黑体" w:eastAsia="黑体" w:cs="黑体"/>
          <w:color w:val="000000"/>
          <w:sz w:val="32"/>
          <w:szCs w:val="32"/>
        </w:rPr>
      </w:pPr>
      <w:bookmarkStart w:id="16" w:name="_Toc182692291_WPSOffice_Level1"/>
      <w:bookmarkStart w:id="17" w:name="_Toc976241670_WPSOffice_Level1"/>
      <w:bookmarkStart w:id="18" w:name="_Toc1890145904_WPSOffice_Level1"/>
      <w:bookmarkStart w:id="19" w:name="_Toc581615128_WPSOffice_Level1"/>
      <w:r>
        <w:rPr>
          <w:rFonts w:hint="eastAsia" w:ascii="黑体" w:hAnsi="黑体" w:eastAsia="黑体" w:cs="黑体"/>
          <w:color w:val="000000"/>
          <w:sz w:val="32"/>
          <w:szCs w:val="32"/>
        </w:rPr>
        <w:t>二、评审依据</w:t>
      </w:r>
      <w:bookmarkEnd w:id="16"/>
      <w:bookmarkEnd w:id="17"/>
      <w:bookmarkEnd w:id="18"/>
      <w:bookmarkEnd w:id="19"/>
    </w:p>
    <w:p w14:paraId="67099E57">
      <w:pPr>
        <w:pStyle w:val="35"/>
        <w:numPr>
          <w:ilvl w:val="0"/>
          <w:numId w:val="1"/>
        </w:numPr>
        <w:spacing w:line="600" w:lineRule="exact"/>
        <w:ind w:left="0" w:firstLine="640"/>
        <w:rPr>
          <w:rFonts w:hint="eastAsia" w:ascii="仿宋_GB2312" w:hAnsi="仿宋_GB2312" w:cs="仿宋_GB2312"/>
          <w:sz w:val="32"/>
          <w:szCs w:val="32"/>
        </w:rPr>
      </w:pPr>
      <w:r>
        <w:rPr>
          <w:rFonts w:hint="eastAsia" w:ascii="仿宋_GB2312" w:hAnsi="仿宋_GB2312" w:cs="仿宋_GB2312"/>
          <w:sz w:val="32"/>
          <w:szCs w:val="32"/>
        </w:rPr>
        <w:t>《中华人民共和国预算法》《中华人民共和国预算法实施条例》</w:t>
      </w:r>
      <w:r>
        <w:rPr>
          <w:rFonts w:hint="eastAsia" w:ascii="仿宋_GB2312" w:hAnsi="仿宋_GB2312" w:cs="仿宋_GB2312"/>
          <w:bCs/>
          <w:sz w:val="32"/>
          <w:szCs w:val="32"/>
        </w:rPr>
        <w:t>等法律法规。</w:t>
      </w:r>
    </w:p>
    <w:p w14:paraId="016BF95F">
      <w:pPr>
        <w:pStyle w:val="35"/>
        <w:numPr>
          <w:ilvl w:val="0"/>
          <w:numId w:val="1"/>
        </w:numPr>
        <w:spacing w:line="600" w:lineRule="exact"/>
        <w:ind w:left="0" w:firstLine="640"/>
        <w:rPr>
          <w:rFonts w:hint="eastAsia" w:ascii="仿宋_GB2312" w:hAnsi="仿宋_GB2312" w:cs="仿宋_GB2312"/>
          <w:color w:val="000000"/>
          <w:sz w:val="32"/>
          <w:szCs w:val="32"/>
        </w:rPr>
      </w:pPr>
      <w:r>
        <w:rPr>
          <w:rFonts w:hint="eastAsia" w:ascii="仿宋_GB2312" w:hAnsi="仿宋_GB2312" w:cs="仿宋_GB2312"/>
          <w:sz w:val="32"/>
          <w:szCs w:val="32"/>
        </w:rPr>
        <w:t>湖南省住房和城乡建设厅《关于执行&lt;建设工程工程量清单计价标准&gt;及配套工程量计算标准的通知》（湘建科函〔</w:t>
      </w:r>
      <w:r>
        <w:rPr>
          <w:rFonts w:ascii="仿宋_GB2312" w:hAnsi="仿宋_GB2312" w:cs="仿宋_GB2312"/>
          <w:sz w:val="32"/>
          <w:szCs w:val="32"/>
        </w:rPr>
        <w:t>2025</w:t>
      </w:r>
      <w:r>
        <w:rPr>
          <w:rFonts w:hint="eastAsia" w:ascii="仿宋_GB2312" w:hAnsi="仿宋_GB2312" w:cs="仿宋_GB2312"/>
          <w:sz w:val="32"/>
          <w:szCs w:val="32"/>
        </w:rPr>
        <w:t>〕</w:t>
      </w:r>
      <w:r>
        <w:rPr>
          <w:rFonts w:ascii="仿宋_GB2312" w:hAnsi="仿宋_GB2312" w:cs="仿宋_GB2312"/>
          <w:sz w:val="32"/>
          <w:szCs w:val="32"/>
        </w:rPr>
        <w:t>15</w:t>
      </w:r>
      <w:r>
        <w:rPr>
          <w:rFonts w:hint="eastAsia" w:ascii="仿宋_GB2312" w:hAnsi="仿宋_GB2312" w:cs="仿宋_GB2312"/>
          <w:sz w:val="32"/>
          <w:szCs w:val="32"/>
        </w:rPr>
        <w:t>0号）。</w:t>
      </w:r>
    </w:p>
    <w:p w14:paraId="770C4D1D">
      <w:pPr>
        <w:pStyle w:val="35"/>
        <w:numPr>
          <w:ilvl w:val="0"/>
          <w:numId w:val="1"/>
        </w:numPr>
        <w:spacing w:line="600" w:lineRule="exact"/>
        <w:ind w:left="0" w:firstLine="640"/>
        <w:rPr>
          <w:rFonts w:hint="eastAsia" w:ascii="仿宋_GB2312" w:hAnsi="仿宋_GB2312" w:cs="仿宋_GB2312"/>
          <w:color w:val="000000"/>
          <w:sz w:val="32"/>
          <w:szCs w:val="32"/>
        </w:rPr>
      </w:pPr>
      <w:r>
        <w:rPr>
          <w:rFonts w:hint="eastAsia" w:ascii="仿宋_GB2312" w:hAnsi="仿宋_GB2312" w:cs="仿宋_GB2312"/>
          <w:sz w:val="32"/>
          <w:szCs w:val="32"/>
        </w:rPr>
        <w:t>湖南省住房和城乡建设厅《关于发布</w:t>
      </w:r>
      <w:r>
        <w:rPr>
          <w:rFonts w:ascii="仿宋_GB2312" w:hAnsi="仿宋_GB2312" w:cs="仿宋_GB2312"/>
          <w:sz w:val="32"/>
          <w:szCs w:val="32"/>
        </w:rPr>
        <w:t>2025</w:t>
      </w:r>
      <w:r>
        <w:rPr>
          <w:rFonts w:hint="eastAsia" w:ascii="仿宋_GB2312" w:hAnsi="仿宋_GB2312" w:cs="仿宋_GB2312"/>
          <w:sz w:val="32"/>
          <w:szCs w:val="32"/>
        </w:rPr>
        <w:t>&lt;湖南省建设工程消耗量标准&gt;的通知》（湘建科函〔</w:t>
      </w:r>
      <w:r>
        <w:rPr>
          <w:rFonts w:ascii="仿宋_GB2312" w:hAnsi="仿宋_GB2312" w:cs="仿宋_GB2312"/>
          <w:sz w:val="32"/>
          <w:szCs w:val="32"/>
        </w:rPr>
        <w:t>2025</w:t>
      </w:r>
      <w:r>
        <w:rPr>
          <w:rFonts w:hint="eastAsia" w:ascii="仿宋_GB2312" w:hAnsi="仿宋_GB2312" w:cs="仿宋_GB2312"/>
          <w:sz w:val="32"/>
          <w:szCs w:val="32"/>
        </w:rPr>
        <w:t>〕</w:t>
      </w:r>
      <w:r>
        <w:rPr>
          <w:rFonts w:ascii="仿宋_GB2312" w:hAnsi="仿宋_GB2312" w:cs="仿宋_GB2312"/>
          <w:sz w:val="32"/>
          <w:szCs w:val="32"/>
        </w:rPr>
        <w:t>151</w:t>
      </w:r>
      <w:r>
        <w:rPr>
          <w:rFonts w:hint="eastAsia" w:ascii="仿宋_GB2312" w:hAnsi="仿宋_GB2312" w:cs="仿宋_GB2312"/>
          <w:sz w:val="32"/>
          <w:szCs w:val="32"/>
        </w:rPr>
        <w:t>号）</w:t>
      </w:r>
      <w:r>
        <w:rPr>
          <w:rFonts w:hint="eastAsia" w:ascii="仿宋_GB2312" w:hAnsi="仿宋_GB2312" w:cs="仿宋_GB2312"/>
          <w:color w:val="000000"/>
          <w:sz w:val="32"/>
          <w:szCs w:val="32"/>
        </w:rPr>
        <w:t>。</w:t>
      </w:r>
    </w:p>
    <w:p w14:paraId="2DF745C0">
      <w:pPr>
        <w:pStyle w:val="35"/>
        <w:numPr>
          <w:ilvl w:val="0"/>
          <w:numId w:val="1"/>
        </w:numPr>
        <w:spacing w:line="600" w:lineRule="exact"/>
        <w:ind w:left="0" w:firstLine="640"/>
        <w:rPr>
          <w:rFonts w:hint="eastAsia" w:ascii="仿宋_GB2312" w:hAnsi="仿宋_GB2312" w:cs="仿宋_GB2312"/>
          <w:color w:val="000000"/>
          <w:sz w:val="32"/>
          <w:szCs w:val="32"/>
        </w:rPr>
      </w:pPr>
      <w:r>
        <w:rPr>
          <w:rFonts w:hint="eastAsia" w:ascii="仿宋_GB2312" w:hAnsi="仿宋_GB2312" w:cs="仿宋_GB2312"/>
          <w:color w:val="000000"/>
          <w:sz w:val="32"/>
          <w:szCs w:val="32"/>
          <w:lang w:val="en-US" w:eastAsia="zh-CN"/>
        </w:rPr>
        <w:t>关于</w:t>
      </w:r>
      <w:r>
        <w:rPr>
          <w:rFonts w:hint="eastAsia" w:ascii="仿宋_GB2312" w:hAnsi="仿宋_GB2312" w:eastAsia="仿宋_GB2312" w:cs="仿宋_GB2312"/>
          <w:sz w:val="32"/>
          <w:szCs w:val="32"/>
        </w:rPr>
        <w:t>柳叶湖岩子堰公寓式安置小区南向门脸工程</w:t>
      </w:r>
      <w:r>
        <w:rPr>
          <w:rFonts w:hint="eastAsia" w:ascii="仿宋_GB2312" w:hAnsi="仿宋_GB2312" w:cs="仿宋_GB2312"/>
          <w:sz w:val="32"/>
          <w:szCs w:val="32"/>
          <w:lang w:val="en-US" w:eastAsia="zh-CN"/>
        </w:rPr>
        <w:t>的政府投资项目工程变更确认表</w:t>
      </w:r>
      <w:r>
        <w:rPr>
          <w:rFonts w:hint="eastAsia" w:ascii="仿宋_GB2312" w:hAnsi="仿宋_GB2312" w:cs="仿宋_GB2312"/>
          <w:color w:val="000000"/>
          <w:sz w:val="32"/>
          <w:szCs w:val="32"/>
        </w:rPr>
        <w:t>。</w:t>
      </w:r>
    </w:p>
    <w:p w14:paraId="023BA61A">
      <w:pPr>
        <w:pStyle w:val="35"/>
        <w:numPr>
          <w:ilvl w:val="0"/>
          <w:numId w:val="1"/>
        </w:numPr>
        <w:spacing w:line="600" w:lineRule="exact"/>
        <w:ind w:left="0" w:firstLine="640"/>
        <w:outlineLvl w:val="1"/>
        <w:rPr>
          <w:rFonts w:hint="eastAsia" w:ascii="仿宋_GB2312" w:hAnsi="仿宋_GB2312" w:cs="仿宋_GB2312"/>
          <w:sz w:val="32"/>
          <w:szCs w:val="32"/>
        </w:rPr>
      </w:pPr>
      <w:bookmarkStart w:id="20" w:name="_Toc450291478_WPSOffice_Level2"/>
      <w:bookmarkStart w:id="21" w:name="_Toc333544456_WPSOffice_Level2"/>
      <w:bookmarkStart w:id="22" w:name="_Toc680724078_WPSOffice_Level2"/>
      <w:bookmarkStart w:id="23" w:name="_Toc479871566_WPSOffice_Level2"/>
      <w:r>
        <w:rPr>
          <w:rFonts w:hint="eastAsia" w:ascii="仿宋_GB2312" w:hAnsi="仿宋_GB2312" w:cs="仿宋_GB2312"/>
          <w:sz w:val="32"/>
          <w:szCs w:val="32"/>
        </w:rPr>
        <w:t>常德市建设工程造价管理站《关于公布常德市二○二五年第十</w:t>
      </w:r>
      <w:r>
        <w:rPr>
          <w:rFonts w:hint="eastAsia" w:ascii="仿宋_GB2312" w:hAnsi="仿宋_GB2312" w:cs="仿宋_GB2312"/>
          <w:sz w:val="32"/>
          <w:szCs w:val="32"/>
          <w:lang w:val="en-US" w:eastAsia="zh-CN"/>
        </w:rPr>
        <w:t>一</w:t>
      </w:r>
      <w:r>
        <w:rPr>
          <w:rFonts w:hint="eastAsia" w:ascii="仿宋_GB2312" w:hAnsi="仿宋_GB2312" w:cs="仿宋_GB2312"/>
          <w:sz w:val="32"/>
          <w:szCs w:val="32"/>
        </w:rPr>
        <w:t>期建设工程材料市场综合价的通知》（</w:t>
      </w:r>
      <w:r>
        <w:rPr>
          <w:rFonts w:hint="eastAsia" w:ascii="仿宋_GB2312"/>
          <w:sz w:val="32"/>
          <w:szCs w:val="32"/>
        </w:rPr>
        <w:t>常建价〔2025〕1</w:t>
      </w:r>
      <w:r>
        <w:rPr>
          <w:rFonts w:hint="eastAsia" w:ascii="仿宋_GB2312"/>
          <w:sz w:val="32"/>
          <w:szCs w:val="32"/>
          <w:lang w:val="en-US" w:eastAsia="zh-CN"/>
        </w:rPr>
        <w:t>5</w:t>
      </w:r>
      <w:r>
        <w:rPr>
          <w:rFonts w:hint="eastAsia" w:ascii="仿宋_GB2312"/>
          <w:sz w:val="32"/>
          <w:szCs w:val="32"/>
        </w:rPr>
        <w:t>号</w:t>
      </w:r>
      <w:r>
        <w:rPr>
          <w:rFonts w:hint="eastAsia" w:ascii="仿宋_GB2312" w:hAnsi="仿宋_GB2312" w:cs="仿宋_GB2312"/>
          <w:sz w:val="32"/>
          <w:szCs w:val="32"/>
        </w:rPr>
        <w:t>）及市场价格。</w:t>
      </w:r>
      <w:bookmarkEnd w:id="20"/>
      <w:bookmarkEnd w:id="21"/>
      <w:bookmarkEnd w:id="22"/>
      <w:bookmarkEnd w:id="23"/>
    </w:p>
    <w:p w14:paraId="455FF4A2">
      <w:pPr>
        <w:pStyle w:val="35"/>
        <w:numPr>
          <w:ilvl w:val="0"/>
          <w:numId w:val="1"/>
        </w:numPr>
        <w:spacing w:line="600" w:lineRule="exact"/>
        <w:ind w:left="0" w:firstLine="640"/>
        <w:outlineLvl w:val="2"/>
        <w:rPr>
          <w:rFonts w:hint="eastAsia" w:ascii="仿宋_GB2312" w:hAnsi="仿宋_GB2312" w:cs="仿宋_GB2312"/>
          <w:sz w:val="32"/>
          <w:szCs w:val="32"/>
        </w:rPr>
      </w:pPr>
      <w:bookmarkStart w:id="24" w:name="_Toc863367060_WPSOffice_Level3"/>
      <w:r>
        <w:rPr>
          <w:rFonts w:hint="eastAsia" w:ascii="仿宋_GB2312" w:hAnsi="仿宋_GB2312" w:cs="仿宋_GB2312"/>
          <w:sz w:val="32"/>
          <w:szCs w:val="32"/>
        </w:rPr>
        <w:t>其他有关资料。</w:t>
      </w:r>
      <w:bookmarkEnd w:id="24"/>
    </w:p>
    <w:p w14:paraId="0D38C5BF">
      <w:pPr>
        <w:pStyle w:val="14"/>
        <w:tabs>
          <w:tab w:val="left" w:pos="6266"/>
        </w:tabs>
        <w:spacing w:line="600" w:lineRule="exact"/>
        <w:ind w:firstLine="640"/>
        <w:outlineLvl w:val="0"/>
        <w:rPr>
          <w:rFonts w:hint="eastAsia" w:ascii="黑体" w:hAnsi="黑体" w:eastAsia="黑体" w:cs="黑体"/>
          <w:color w:val="000000"/>
          <w:sz w:val="32"/>
          <w:szCs w:val="32"/>
        </w:rPr>
      </w:pPr>
      <w:bookmarkStart w:id="25" w:name="_Toc1890271026_WPSOffice_Level1"/>
      <w:bookmarkStart w:id="26" w:name="_Toc913869554_WPSOffice_Level1"/>
      <w:bookmarkStart w:id="27" w:name="_Toc1699738589_WPSOffice_Level1"/>
      <w:bookmarkStart w:id="28" w:name="_Toc757239869_WPSOffice_Level1"/>
      <w:r>
        <w:rPr>
          <w:rFonts w:hint="eastAsia" w:ascii="黑体" w:hAnsi="黑体" w:eastAsia="黑体" w:cs="黑体"/>
          <w:color w:val="000000"/>
          <w:sz w:val="32"/>
          <w:szCs w:val="32"/>
        </w:rPr>
        <w:t>三、评审结论</w:t>
      </w:r>
      <w:bookmarkEnd w:id="25"/>
      <w:bookmarkEnd w:id="26"/>
      <w:bookmarkEnd w:id="27"/>
      <w:bookmarkEnd w:id="28"/>
    </w:p>
    <w:p w14:paraId="5606E12A">
      <w:pPr>
        <w:spacing w:line="60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该工程施工图预算送审金额为</w:t>
      </w:r>
      <w:r>
        <w:rPr>
          <w:rFonts w:hint="eastAsia" w:ascii="仿宋_GB2312" w:hAnsi="仿宋_GB2312" w:eastAsia="仿宋_GB2312" w:cs="仿宋_GB2312"/>
          <w:color w:val="000000"/>
          <w:sz w:val="32"/>
          <w:szCs w:val="32"/>
          <w:lang w:val="en-US" w:eastAsia="zh-CN"/>
        </w:rPr>
        <w:t>66192</w:t>
      </w:r>
      <w:r>
        <w:rPr>
          <w:rFonts w:hint="eastAsia" w:ascii="仿宋_GB2312" w:hAnsi="仿宋_GB2312" w:eastAsia="仿宋_GB2312" w:cs="仿宋_GB2312"/>
          <w:color w:val="000000"/>
          <w:sz w:val="32"/>
          <w:szCs w:val="32"/>
        </w:rPr>
        <w:t>元，审定金额为5</w:t>
      </w:r>
      <w:r>
        <w:rPr>
          <w:rFonts w:hint="eastAsia" w:ascii="仿宋_GB2312" w:hAnsi="仿宋_GB2312" w:eastAsia="仿宋_GB2312" w:cs="仿宋_GB2312"/>
          <w:color w:val="000000"/>
          <w:sz w:val="32"/>
          <w:szCs w:val="32"/>
          <w:lang w:val="en-US" w:eastAsia="zh-CN"/>
        </w:rPr>
        <w:t>9589</w:t>
      </w:r>
      <w:r>
        <w:rPr>
          <w:rFonts w:hint="eastAsia" w:ascii="仿宋_GB2312" w:hAnsi="仿宋_GB2312" w:eastAsia="仿宋_GB2312" w:cs="仿宋_GB2312"/>
          <w:color w:val="000000"/>
          <w:sz w:val="32"/>
          <w:szCs w:val="32"/>
        </w:rPr>
        <w:t>元，审减金额为</w:t>
      </w:r>
      <w:r>
        <w:rPr>
          <w:rFonts w:hint="eastAsia" w:ascii="仿宋_GB2312" w:hAnsi="仿宋_GB2312" w:eastAsia="仿宋_GB2312" w:cs="仿宋_GB2312"/>
          <w:color w:val="000000"/>
          <w:sz w:val="32"/>
          <w:szCs w:val="32"/>
          <w:lang w:val="en-US" w:eastAsia="zh-CN"/>
        </w:rPr>
        <w:t>6603</w:t>
      </w:r>
      <w:r>
        <w:rPr>
          <w:rFonts w:hint="eastAsia" w:ascii="仿宋_GB2312" w:hAnsi="仿宋_GB2312" w:eastAsia="仿宋_GB2312" w:cs="仿宋_GB2312"/>
          <w:color w:val="000000"/>
          <w:sz w:val="32"/>
          <w:szCs w:val="32"/>
        </w:rPr>
        <w:t>元。其中：工程费审减</w:t>
      </w:r>
      <w:r>
        <w:rPr>
          <w:rFonts w:hint="eastAsia" w:ascii="仿宋_GB2312" w:hAnsi="仿宋_GB2312" w:eastAsia="仿宋_GB2312" w:cs="仿宋_GB2312"/>
          <w:color w:val="000000"/>
          <w:sz w:val="32"/>
          <w:szCs w:val="32"/>
          <w:lang w:val="en-US" w:eastAsia="zh-CN"/>
        </w:rPr>
        <w:t>8339</w:t>
      </w:r>
      <w:r>
        <w:rPr>
          <w:rFonts w:hint="eastAsia" w:ascii="仿宋_GB2312" w:hAnsi="仿宋_GB2312" w:eastAsia="仿宋_GB2312" w:cs="仿宋_GB2312"/>
          <w:color w:val="000000"/>
          <w:sz w:val="32"/>
          <w:szCs w:val="32"/>
        </w:rPr>
        <w:t>元，不可预见费审</w:t>
      </w:r>
      <w:r>
        <w:rPr>
          <w:rFonts w:hint="eastAsia" w:ascii="仿宋_GB2312" w:hAnsi="仿宋_GB2312" w:eastAsia="仿宋_GB2312" w:cs="仿宋_GB2312"/>
          <w:color w:val="000000"/>
          <w:sz w:val="32"/>
          <w:szCs w:val="32"/>
          <w:lang w:val="en-US" w:eastAsia="zh-CN"/>
        </w:rPr>
        <w:t>增1736</w:t>
      </w:r>
      <w:r>
        <w:rPr>
          <w:rFonts w:hint="eastAsia" w:ascii="仿宋_GB2312" w:hAnsi="仿宋_GB2312" w:eastAsia="仿宋_GB2312" w:cs="仿宋_GB2312"/>
          <w:color w:val="000000"/>
          <w:sz w:val="32"/>
          <w:szCs w:val="32"/>
        </w:rPr>
        <w:t>元。审</w:t>
      </w:r>
      <w:r>
        <w:rPr>
          <w:rFonts w:hint="eastAsia" w:ascii="仿宋_GB2312" w:hAnsi="仿宋_GB2312" w:eastAsia="仿宋_GB2312" w:cs="仿宋_GB2312"/>
          <w:color w:val="000000"/>
          <w:sz w:val="32"/>
          <w:szCs w:val="32"/>
          <w:lang w:val="en-US" w:eastAsia="zh-CN"/>
        </w:rPr>
        <w:t>核</w:t>
      </w:r>
      <w:r>
        <w:rPr>
          <w:rFonts w:hint="eastAsia" w:ascii="仿宋_GB2312" w:hAnsi="仿宋_GB2312" w:eastAsia="仿宋_GB2312" w:cs="仿宋_GB2312"/>
          <w:color w:val="000000"/>
          <w:sz w:val="32"/>
          <w:szCs w:val="32"/>
        </w:rPr>
        <w:t>主要原因如下：</w:t>
      </w:r>
    </w:p>
    <w:p w14:paraId="4873BA54">
      <w:pPr>
        <w:pStyle w:val="35"/>
        <w:numPr>
          <w:ilvl w:val="0"/>
          <w:numId w:val="0"/>
        </w:numPr>
        <w:spacing w:line="600" w:lineRule="exact"/>
        <w:ind w:left="640" w:leftChars="0"/>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cs="仿宋_GB2312"/>
          <w:color w:val="000000"/>
          <w:kern w:val="2"/>
          <w:sz w:val="32"/>
          <w:szCs w:val="32"/>
          <w:lang w:val="en-US" w:eastAsia="zh-CN" w:bidi="ar-SA"/>
        </w:rPr>
        <w:t>1.</w:t>
      </w:r>
      <w:r>
        <w:rPr>
          <w:rFonts w:hint="eastAsia" w:ascii="仿宋_GB2312" w:hAnsi="仿宋_GB2312" w:eastAsia="仿宋_GB2312" w:cs="仿宋_GB2312"/>
          <w:color w:val="000000"/>
          <w:kern w:val="2"/>
          <w:sz w:val="32"/>
          <w:szCs w:val="32"/>
          <w:lang w:val="en-US" w:eastAsia="zh-CN" w:bidi="ar-SA"/>
        </w:rPr>
        <w:t>送审预算未套用现行2025定额。</w:t>
      </w:r>
    </w:p>
    <w:p w14:paraId="4854845E">
      <w:pPr>
        <w:keepNext w:val="0"/>
        <w:keepLines w:val="0"/>
        <w:widowControl/>
        <w:suppressLineNumbers w:val="0"/>
        <w:ind w:firstLine="640" w:firstLineChars="200"/>
        <w:jc w:val="left"/>
        <w:rPr>
          <w:rFonts w:hint="eastAsia"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2.送审人工费未按2025年湖南省建设工程人工费指数调整。</w:t>
      </w:r>
    </w:p>
    <w:p w14:paraId="521AB53F">
      <w:pPr>
        <w:pStyle w:val="2"/>
        <w:rPr>
          <w:rFonts w:hint="eastAsia" w:ascii="仿宋_GB2312" w:hAnsi="仿宋_GB2312" w:cs="仿宋_GB2312"/>
          <w:color w:val="000000"/>
          <w:sz w:val="32"/>
          <w:szCs w:val="32"/>
        </w:rPr>
      </w:pPr>
      <w:r>
        <w:rPr>
          <w:rFonts w:hint="eastAsia" w:ascii="仿宋_GB2312" w:hAnsi="仿宋_GB2312" w:eastAsia="仿宋_GB2312" w:cs="仿宋_GB2312"/>
          <w:color w:val="000000"/>
          <w:kern w:val="2"/>
          <w:sz w:val="32"/>
          <w:szCs w:val="32"/>
          <w:lang w:val="en-US" w:eastAsia="zh-CN" w:bidi="ar-SA"/>
        </w:rPr>
        <w:t xml:space="preserve">    3.送审未计取</w:t>
      </w:r>
      <w:r>
        <w:rPr>
          <w:rFonts w:hint="eastAsia" w:ascii="仿宋_GB2312" w:hAnsi="仿宋_GB2312" w:eastAsia="仿宋_GB2312" w:cs="仿宋_GB2312"/>
          <w:color w:val="000000"/>
          <w:sz w:val="32"/>
          <w:szCs w:val="32"/>
        </w:rPr>
        <w:t>不可预见费</w:t>
      </w:r>
      <w:r>
        <w:rPr>
          <w:rFonts w:hint="eastAsia" w:ascii="仿宋_GB2312" w:hAnsi="仿宋_GB2312" w:eastAsia="仿宋_GB2312" w:cs="仿宋_GB2312"/>
          <w:color w:val="000000"/>
          <w:sz w:val="32"/>
          <w:szCs w:val="32"/>
          <w:lang w:eastAsia="zh-CN"/>
        </w:rPr>
        <w:t>。</w:t>
      </w:r>
    </w:p>
    <w:p w14:paraId="666739B0">
      <w:pPr>
        <w:pStyle w:val="14"/>
        <w:tabs>
          <w:tab w:val="left" w:pos="6266"/>
        </w:tabs>
        <w:spacing w:line="600" w:lineRule="exact"/>
        <w:ind w:firstLine="640"/>
        <w:outlineLvl w:val="0"/>
        <w:rPr>
          <w:rFonts w:hint="eastAsia" w:ascii="黑体" w:hAnsi="黑体" w:eastAsia="黑体" w:cs="黑体"/>
          <w:color w:val="000000"/>
          <w:sz w:val="32"/>
          <w:szCs w:val="32"/>
        </w:rPr>
      </w:pPr>
      <w:bookmarkStart w:id="29" w:name="_Toc669635750_WPSOffice_Level1"/>
      <w:bookmarkStart w:id="30" w:name="_Toc391484743_WPSOffice_Level1"/>
      <w:bookmarkStart w:id="31" w:name="_Toc340961487_WPSOffice_Level1"/>
      <w:bookmarkStart w:id="32" w:name="_Toc1244274959_WPSOffice_Level1"/>
      <w:r>
        <w:rPr>
          <w:rFonts w:hint="eastAsia" w:ascii="黑体" w:hAnsi="黑体" w:eastAsia="黑体" w:cs="黑体"/>
          <w:color w:val="000000"/>
          <w:sz w:val="32"/>
          <w:szCs w:val="32"/>
          <w:lang w:val="en-US" w:eastAsia="zh-CN"/>
        </w:rPr>
        <w:t>四</w:t>
      </w:r>
      <w:r>
        <w:rPr>
          <w:rFonts w:hint="eastAsia" w:ascii="黑体" w:hAnsi="黑体" w:eastAsia="黑体" w:cs="黑体"/>
          <w:color w:val="000000"/>
          <w:sz w:val="32"/>
          <w:szCs w:val="32"/>
        </w:rPr>
        <w:t>、有关事项说明</w:t>
      </w:r>
      <w:bookmarkEnd w:id="29"/>
      <w:bookmarkEnd w:id="30"/>
      <w:bookmarkEnd w:id="31"/>
      <w:bookmarkEnd w:id="32"/>
    </w:p>
    <w:p w14:paraId="211D0E79">
      <w:pPr>
        <w:overflowPunct w:val="0"/>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color w:val="000000"/>
          <w:sz w:val="32"/>
          <w:szCs w:val="32"/>
        </w:rPr>
        <w:t>本</w:t>
      </w:r>
      <w:r>
        <w:rPr>
          <w:rFonts w:hint="eastAsia" w:ascii="Times New Roman" w:hAnsi="Times New Roman" w:eastAsia="仿宋_GB2312"/>
          <w:sz w:val="32"/>
          <w:szCs w:val="32"/>
        </w:rPr>
        <w:t>评审结果是该项目财政预算控制上限，作为预算执行的重要依据，</w:t>
      </w:r>
      <w:r>
        <w:rPr>
          <w:rFonts w:hint="eastAsia" w:ascii="仿宋_GB2312" w:hAnsi="仿宋_GB2312" w:eastAsia="仿宋_GB2312" w:cs="仿宋_GB2312"/>
          <w:sz w:val="32"/>
          <w:szCs w:val="32"/>
        </w:rPr>
        <w:t>不作为招投标、政府采购、结算和决算的依据</w:t>
      </w:r>
      <w:r>
        <w:rPr>
          <w:rFonts w:hint="eastAsia" w:ascii="仿宋_GB2312" w:hAnsi="仿宋_GB2312" w:eastAsia="仿宋_GB2312" w:cs="仿宋_GB2312"/>
          <w:color w:val="000000"/>
          <w:sz w:val="32"/>
          <w:szCs w:val="32"/>
        </w:rPr>
        <w:t>。请</w:t>
      </w:r>
      <w:r>
        <w:rPr>
          <w:rFonts w:hint="eastAsia" w:ascii="Times New Roman" w:hAnsi="Times New Roman" w:eastAsia="仿宋_GB2312"/>
          <w:sz w:val="32"/>
          <w:szCs w:val="32"/>
        </w:rPr>
        <w:t>根据预算执行评审结果调整预算安排并指导相关部门严控预算执行，督促</w:t>
      </w:r>
      <w:r>
        <w:rPr>
          <w:rFonts w:hint="eastAsia" w:ascii="仿宋_GB2312" w:hAnsi="仿宋_GB2312" w:eastAsia="仿宋_GB2312" w:cs="仿宋_GB2312"/>
          <w:color w:val="000000"/>
          <w:sz w:val="32"/>
          <w:szCs w:val="32"/>
        </w:rPr>
        <w:t>项目单位严格遵守各项法律法规、财经纪律和财务管理制度。资金管理科室对预算评审类型和报告使用负责。</w:t>
      </w:r>
    </w:p>
    <w:p w14:paraId="72C10342">
      <w:pPr>
        <w:overflowPunct w:val="0"/>
        <w:ind w:firstLine="640" w:firstLineChars="200"/>
        <w:rPr>
          <w:rFonts w:hint="eastAsia" w:ascii="仿宋_GB2312" w:hAnsi="仿宋_GB2312" w:eastAsia="仿宋_GB2312" w:cs="仿宋_GB2312"/>
          <w:color w:val="000000"/>
          <w:sz w:val="32"/>
          <w:szCs w:val="32"/>
          <w:highlight w:val="yellow"/>
        </w:rPr>
      </w:pPr>
      <w:r>
        <w:rPr>
          <w:rFonts w:hint="eastAsia" w:ascii="仿宋_GB2312" w:hAnsi="仿宋_GB2312" w:eastAsia="仿宋_GB2312" w:cs="仿宋_GB2312"/>
          <w:color w:val="000000"/>
          <w:sz w:val="32"/>
          <w:szCs w:val="32"/>
        </w:rPr>
        <w:t>2.</w:t>
      </w:r>
      <w:r>
        <w:rPr>
          <w:rFonts w:hint="eastAsia"/>
          <w:sz w:val="32"/>
          <w:szCs w:val="32"/>
        </w:rPr>
        <w:t xml:space="preserve"> </w:t>
      </w:r>
      <w:r>
        <w:rPr>
          <w:rFonts w:hint="eastAsia" w:ascii="仿宋_GB2312" w:hAnsi="仿宋_GB2312" w:eastAsia="仿宋_GB2312" w:cs="仿宋_GB2312"/>
          <w:color w:val="000000"/>
          <w:sz w:val="32"/>
          <w:szCs w:val="32"/>
        </w:rPr>
        <w:t>项目预算控制上限依据项目单位提供的设计图纸、施工方案，参照相关法律法规、行业规范标准及市场询价结果出具。若因送审资料完整性不足、准确性欠缺等情形导致的偏差，相关责任由项目单位自行承担。</w:t>
      </w:r>
    </w:p>
    <w:p w14:paraId="2B66E342"/>
    <w:p w14:paraId="25292D53"/>
    <w:p w14:paraId="37BC9488"/>
    <w:p w14:paraId="589AF4E7">
      <w:pPr>
        <w:overflowPunct w:val="0"/>
        <w:ind w:firstLine="640" w:firstLineChars="200"/>
        <w:jc w:val="righ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常德市财政局投资评审中心</w:t>
      </w:r>
    </w:p>
    <w:p w14:paraId="4BB23768">
      <w:pPr>
        <w:pStyle w:val="2"/>
        <w:wordWrap w:val="0"/>
        <w:spacing w:line="600" w:lineRule="exact"/>
        <w:ind w:right="332"/>
        <w:jc w:val="right"/>
        <w:rPr>
          <w:rFonts w:ascii="Times New Roman" w:hAnsi="Times New Roman"/>
        </w:rPr>
      </w:pPr>
      <w:r>
        <w:rPr>
          <w:rFonts w:hint="eastAsia" w:ascii="仿宋_GB2312" w:hAnsi="仿宋_GB2312" w:eastAsia="仿宋_GB2312" w:cs="仿宋_GB2312"/>
          <w:color w:val="000000"/>
          <w:sz w:val="32"/>
          <w:szCs w:val="32"/>
        </w:rPr>
        <w:t>2025年12月</w:t>
      </w:r>
      <w:r>
        <w:rPr>
          <w:rFonts w:hint="eastAsia" w:ascii="仿宋_GB2312" w:hAnsi="仿宋_GB2312" w:eastAsia="仿宋_GB2312" w:cs="仿宋_GB2312"/>
          <w:color w:val="000000"/>
          <w:sz w:val="32"/>
          <w:szCs w:val="32"/>
          <w:lang w:val="en-US" w:eastAsia="zh-CN"/>
        </w:rPr>
        <w:t>24</w:t>
      </w:r>
      <w:r>
        <w:rPr>
          <w:rFonts w:hint="eastAsia" w:ascii="仿宋_GB2312" w:hAnsi="仿宋_GB2312" w:eastAsia="仿宋_GB2312" w:cs="仿宋_GB2312"/>
          <w:color w:val="000000"/>
          <w:sz w:val="32"/>
          <w:szCs w:val="32"/>
        </w:rPr>
        <w:t>日</w:t>
      </w:r>
    </w:p>
    <w:p w14:paraId="70350F92">
      <w:pPr>
        <w:jc w:val="left"/>
        <w:rPr>
          <w:rFonts w:ascii="仿宋_GB2312" w:eastAsia="仿宋_GB2312"/>
          <w:sz w:val="32"/>
          <w:szCs w:val="32"/>
        </w:rPr>
      </w:pPr>
    </w:p>
    <w:p w14:paraId="1B36FC73">
      <w:pPr>
        <w:jc w:val="left"/>
        <w:rPr>
          <w:rFonts w:ascii="仿宋_GB2312" w:eastAsia="仿宋_GB2312"/>
          <w:sz w:val="32"/>
          <w:szCs w:val="32"/>
        </w:rPr>
      </w:pPr>
    </w:p>
    <w:p w14:paraId="31CCCC18">
      <w:pPr>
        <w:jc w:val="left"/>
        <w:rPr>
          <w:rFonts w:ascii="仿宋_GB2312" w:eastAsia="仿宋_GB2312"/>
          <w:sz w:val="32"/>
          <w:szCs w:val="32"/>
        </w:rPr>
      </w:pPr>
    </w:p>
    <w:p w14:paraId="6F161776">
      <w:pPr>
        <w:widowControl/>
        <w:jc w:val="left"/>
        <w:rPr>
          <w:rFonts w:ascii="仿宋_GB2312" w:eastAsia="仿宋_GB2312"/>
          <w:sz w:val="32"/>
          <w:szCs w:val="32"/>
        </w:rPr>
      </w:pPr>
      <w:r>
        <w:rPr>
          <w:rFonts w:ascii="仿宋_GB2312" w:eastAsia="仿宋_GB2312"/>
          <w:sz w:val="32"/>
          <w:szCs w:val="32"/>
        </w:rPr>
        <w:br w:type="page"/>
      </w:r>
    </w:p>
    <w:p w14:paraId="20F9B298">
      <w:pPr>
        <w:jc w:val="left"/>
        <w:rPr>
          <w:rFonts w:ascii="仿宋_GB2312" w:eastAsia="仿宋_GB2312"/>
          <w:sz w:val="32"/>
          <w:szCs w:val="32"/>
        </w:rPr>
      </w:pPr>
      <w:r>
        <w:rPr>
          <w:rFonts w:hint="eastAsia" w:ascii="仿宋_GB2312" w:eastAsia="仿宋_GB2312"/>
          <w:sz w:val="32"/>
          <w:szCs w:val="32"/>
        </w:rPr>
        <w:t>附表</w:t>
      </w:r>
    </w:p>
    <w:tbl>
      <w:tblPr>
        <w:tblStyle w:val="20"/>
        <w:tblW w:w="8853" w:type="dxa"/>
        <w:jc w:val="center"/>
        <w:tblLayout w:type="fixed"/>
        <w:tblCellMar>
          <w:top w:w="0" w:type="dxa"/>
          <w:left w:w="108" w:type="dxa"/>
          <w:bottom w:w="0" w:type="dxa"/>
          <w:right w:w="108" w:type="dxa"/>
        </w:tblCellMar>
      </w:tblPr>
      <w:tblGrid>
        <w:gridCol w:w="724"/>
        <w:gridCol w:w="2020"/>
        <w:gridCol w:w="1465"/>
        <w:gridCol w:w="1465"/>
        <w:gridCol w:w="1265"/>
        <w:gridCol w:w="200"/>
        <w:gridCol w:w="1702"/>
        <w:gridCol w:w="12"/>
      </w:tblGrid>
      <w:tr w14:paraId="50BE73FE">
        <w:tblPrEx>
          <w:tblCellMar>
            <w:top w:w="0" w:type="dxa"/>
            <w:left w:w="108" w:type="dxa"/>
            <w:bottom w:w="0" w:type="dxa"/>
            <w:right w:w="108" w:type="dxa"/>
          </w:tblCellMar>
        </w:tblPrEx>
        <w:trPr>
          <w:gridAfter w:val="1"/>
          <w:wAfter w:w="12" w:type="dxa"/>
          <w:trHeight w:val="780" w:hRule="atLeast"/>
          <w:jc w:val="center"/>
        </w:trPr>
        <w:tc>
          <w:tcPr>
            <w:tcW w:w="8841" w:type="dxa"/>
            <w:gridSpan w:val="7"/>
            <w:tcBorders>
              <w:top w:val="nil"/>
              <w:left w:val="nil"/>
              <w:bottom w:val="nil"/>
              <w:right w:val="nil"/>
            </w:tcBorders>
            <w:noWrap/>
            <w:vAlign w:val="center"/>
          </w:tcPr>
          <w:p w14:paraId="51FB0806">
            <w:pPr>
              <w:pStyle w:val="12"/>
              <w:spacing w:line="600" w:lineRule="exact"/>
              <w:jc w:val="center"/>
              <w:outlineLvl w:val="0"/>
              <w:rPr>
                <w:rFonts w:hint="eastAsia" w:ascii="宋体" w:hAnsi="宋体" w:eastAsia="宋体" w:cs="宋体"/>
                <w:color w:val="000000"/>
                <w:sz w:val="44"/>
                <w:lang w:eastAsia="zh-CN"/>
              </w:rPr>
            </w:pPr>
            <w:r>
              <w:rPr>
                <w:rFonts w:hint="eastAsia" w:ascii="宋体" w:hAnsi="宋体" w:eastAsia="宋体" w:cs="宋体"/>
                <w:color w:val="000000"/>
                <w:sz w:val="44"/>
                <w:lang w:eastAsia="zh-CN"/>
              </w:rPr>
              <w:t>柳叶湖岩子堰公寓式安置小区南向门脸工程</w:t>
            </w:r>
          </w:p>
          <w:p w14:paraId="4680A81E">
            <w:pPr>
              <w:pStyle w:val="12"/>
              <w:spacing w:line="600" w:lineRule="exact"/>
              <w:jc w:val="center"/>
              <w:outlineLvl w:val="0"/>
              <w:rPr>
                <w:rFonts w:ascii="宋体" w:hAnsi="宋体" w:cs="宋体"/>
                <w:kern w:val="0"/>
                <w:sz w:val="44"/>
                <w:szCs w:val="44"/>
              </w:rPr>
            </w:pPr>
            <w:r>
              <w:rPr>
                <w:rFonts w:hint="eastAsia" w:ascii="宋体" w:hAnsi="宋体" w:eastAsia="宋体" w:cs="宋体"/>
                <w:color w:val="000000"/>
                <w:sz w:val="44"/>
                <w:lang w:eastAsia="zh-CN"/>
              </w:rPr>
              <w:t>预算执行评审汇总表</w:t>
            </w:r>
          </w:p>
        </w:tc>
      </w:tr>
      <w:tr w14:paraId="0CDC4B68">
        <w:tblPrEx>
          <w:tblCellMar>
            <w:top w:w="0" w:type="dxa"/>
            <w:left w:w="108" w:type="dxa"/>
            <w:bottom w:w="0" w:type="dxa"/>
            <w:right w:w="108" w:type="dxa"/>
          </w:tblCellMar>
        </w:tblPrEx>
        <w:trPr>
          <w:gridAfter w:val="1"/>
          <w:wAfter w:w="12" w:type="dxa"/>
          <w:trHeight w:val="567" w:hRule="exact"/>
          <w:jc w:val="center"/>
        </w:trPr>
        <w:tc>
          <w:tcPr>
            <w:tcW w:w="6939" w:type="dxa"/>
            <w:gridSpan w:val="5"/>
            <w:tcBorders>
              <w:top w:val="nil"/>
              <w:left w:val="nil"/>
              <w:bottom w:val="nil"/>
              <w:right w:val="nil"/>
            </w:tcBorders>
            <w:noWrap/>
            <w:vAlign w:val="center"/>
          </w:tcPr>
          <w:p w14:paraId="3574C319">
            <w:pPr>
              <w:jc w:val="left"/>
              <w:rPr>
                <w:rFonts w:hint="eastAsia" w:ascii="仿宋_GB2312" w:hAnsi="仿宋_GB2312" w:eastAsia="仿宋_GB2312" w:cs="仿宋_GB2312"/>
                <w:sz w:val="28"/>
                <w:szCs w:val="28"/>
                <w:u w:val="single"/>
              </w:rPr>
            </w:pPr>
          </w:p>
        </w:tc>
        <w:tc>
          <w:tcPr>
            <w:tcW w:w="1902" w:type="dxa"/>
            <w:gridSpan w:val="2"/>
            <w:tcBorders>
              <w:top w:val="nil"/>
              <w:left w:val="nil"/>
              <w:bottom w:val="nil"/>
              <w:right w:val="nil"/>
            </w:tcBorders>
            <w:vAlign w:val="center"/>
          </w:tcPr>
          <w:p w14:paraId="5B6D582B">
            <w:pPr>
              <w:widowControl/>
              <w:jc w:val="righ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金额单位：元</w:t>
            </w:r>
          </w:p>
        </w:tc>
      </w:tr>
      <w:tr w14:paraId="1CF1914E">
        <w:tblPrEx>
          <w:tblCellMar>
            <w:top w:w="15" w:type="dxa"/>
            <w:left w:w="15" w:type="dxa"/>
            <w:bottom w:w="15" w:type="dxa"/>
            <w:right w:w="15" w:type="dxa"/>
          </w:tblCellMar>
        </w:tblPrEx>
        <w:trPr>
          <w:trHeight w:val="658" w:hRule="exact"/>
          <w:jc w:val="center"/>
        </w:trPr>
        <w:tc>
          <w:tcPr>
            <w:tcW w:w="724" w:type="dxa"/>
            <w:tcBorders>
              <w:top w:val="single" w:color="000000" w:sz="4" w:space="0"/>
              <w:left w:val="single" w:color="000000" w:sz="4" w:space="0"/>
              <w:bottom w:val="single" w:color="000000" w:sz="4" w:space="0"/>
              <w:right w:val="single" w:color="000000" w:sz="4" w:space="0"/>
            </w:tcBorders>
            <w:vAlign w:val="center"/>
          </w:tcPr>
          <w:p w14:paraId="7A4589D4">
            <w:pPr>
              <w:widowControl/>
              <w:spacing w:line="240" w:lineRule="exact"/>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序号</w:t>
            </w:r>
          </w:p>
        </w:tc>
        <w:tc>
          <w:tcPr>
            <w:tcW w:w="2020" w:type="dxa"/>
            <w:tcBorders>
              <w:top w:val="single" w:color="000000" w:sz="4" w:space="0"/>
              <w:left w:val="single" w:color="000000" w:sz="4" w:space="0"/>
              <w:bottom w:val="single" w:color="000000" w:sz="4" w:space="0"/>
              <w:right w:val="single" w:color="000000" w:sz="4" w:space="0"/>
            </w:tcBorders>
            <w:vAlign w:val="center"/>
          </w:tcPr>
          <w:p w14:paraId="58C57AEE">
            <w:pPr>
              <w:widowControl/>
              <w:spacing w:line="240" w:lineRule="exact"/>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评审内容</w:t>
            </w:r>
          </w:p>
        </w:tc>
        <w:tc>
          <w:tcPr>
            <w:tcW w:w="1465" w:type="dxa"/>
            <w:tcBorders>
              <w:top w:val="single" w:color="000000" w:sz="4" w:space="0"/>
              <w:left w:val="single" w:color="000000" w:sz="4" w:space="0"/>
              <w:bottom w:val="single" w:color="000000" w:sz="4" w:space="0"/>
              <w:right w:val="single" w:color="000000" w:sz="4" w:space="0"/>
            </w:tcBorders>
            <w:vAlign w:val="center"/>
          </w:tcPr>
          <w:p w14:paraId="2B09F279">
            <w:pPr>
              <w:widowControl/>
              <w:spacing w:line="240" w:lineRule="exact"/>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送审金额</w:t>
            </w:r>
          </w:p>
        </w:tc>
        <w:tc>
          <w:tcPr>
            <w:tcW w:w="1465" w:type="dxa"/>
            <w:tcBorders>
              <w:top w:val="single" w:color="000000" w:sz="4" w:space="0"/>
              <w:left w:val="single" w:color="000000" w:sz="4" w:space="0"/>
              <w:bottom w:val="single" w:color="000000" w:sz="4" w:space="0"/>
              <w:right w:val="single" w:color="000000" w:sz="4" w:space="0"/>
            </w:tcBorders>
            <w:vAlign w:val="center"/>
          </w:tcPr>
          <w:p w14:paraId="37A7E905">
            <w:pPr>
              <w:widowControl/>
              <w:spacing w:line="240" w:lineRule="exact"/>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审定金额</w:t>
            </w:r>
          </w:p>
        </w:tc>
        <w:tc>
          <w:tcPr>
            <w:tcW w:w="1465" w:type="dxa"/>
            <w:gridSpan w:val="2"/>
            <w:tcBorders>
              <w:top w:val="single" w:color="000000" w:sz="4" w:space="0"/>
              <w:left w:val="single" w:color="000000" w:sz="4" w:space="0"/>
              <w:bottom w:val="single" w:color="000000" w:sz="4" w:space="0"/>
              <w:right w:val="single" w:color="000000" w:sz="4" w:space="0"/>
            </w:tcBorders>
            <w:vAlign w:val="center"/>
          </w:tcPr>
          <w:p w14:paraId="3FA32F38">
            <w:pPr>
              <w:widowControl/>
              <w:spacing w:line="240" w:lineRule="exact"/>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审减金额</w:t>
            </w:r>
          </w:p>
        </w:tc>
        <w:tc>
          <w:tcPr>
            <w:tcW w:w="1714" w:type="dxa"/>
            <w:gridSpan w:val="2"/>
            <w:tcBorders>
              <w:top w:val="single" w:color="000000" w:sz="4" w:space="0"/>
              <w:left w:val="single" w:color="000000" w:sz="4" w:space="0"/>
              <w:bottom w:val="single" w:color="000000" w:sz="4" w:space="0"/>
              <w:right w:val="single" w:color="000000" w:sz="4" w:space="0"/>
            </w:tcBorders>
            <w:vAlign w:val="center"/>
          </w:tcPr>
          <w:p w14:paraId="72575F57">
            <w:pPr>
              <w:widowControl/>
              <w:spacing w:line="240" w:lineRule="exact"/>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备  注</w:t>
            </w:r>
          </w:p>
        </w:tc>
      </w:tr>
      <w:tr w14:paraId="72BA7188">
        <w:tblPrEx>
          <w:tblCellMar>
            <w:top w:w="0" w:type="dxa"/>
            <w:left w:w="108" w:type="dxa"/>
            <w:bottom w:w="0" w:type="dxa"/>
            <w:right w:w="108" w:type="dxa"/>
          </w:tblCellMar>
        </w:tblPrEx>
        <w:trPr>
          <w:trHeight w:val="631" w:hRule="exact"/>
          <w:jc w:val="center"/>
        </w:trPr>
        <w:tc>
          <w:tcPr>
            <w:tcW w:w="724" w:type="dxa"/>
            <w:tcBorders>
              <w:top w:val="single" w:color="auto" w:sz="4" w:space="0"/>
              <w:left w:val="single" w:color="auto" w:sz="4" w:space="0"/>
              <w:bottom w:val="single" w:color="auto" w:sz="4" w:space="0"/>
              <w:right w:val="single" w:color="auto" w:sz="4" w:space="0"/>
            </w:tcBorders>
            <w:vAlign w:val="center"/>
          </w:tcPr>
          <w:p w14:paraId="7A602B2F">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w:t>
            </w:r>
          </w:p>
        </w:tc>
        <w:tc>
          <w:tcPr>
            <w:tcW w:w="2020" w:type="dxa"/>
            <w:tcBorders>
              <w:top w:val="single" w:color="auto" w:sz="4" w:space="0"/>
              <w:left w:val="nil"/>
              <w:bottom w:val="single" w:color="auto" w:sz="4" w:space="0"/>
              <w:right w:val="single" w:color="auto" w:sz="4" w:space="0"/>
            </w:tcBorders>
            <w:vAlign w:val="center"/>
          </w:tcPr>
          <w:p w14:paraId="56659FB6">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工程费</w:t>
            </w:r>
          </w:p>
        </w:tc>
        <w:tc>
          <w:tcPr>
            <w:tcW w:w="1465" w:type="dxa"/>
            <w:tcBorders>
              <w:top w:val="single" w:color="auto" w:sz="4" w:space="0"/>
              <w:left w:val="nil"/>
              <w:bottom w:val="single" w:color="auto" w:sz="4" w:space="0"/>
              <w:right w:val="single" w:color="auto" w:sz="4" w:space="0"/>
            </w:tcBorders>
            <w:vAlign w:val="center"/>
          </w:tcPr>
          <w:p w14:paraId="13ACE9DA">
            <w:pPr>
              <w:widowControl/>
              <w:jc w:val="center"/>
              <w:rPr>
                <w:rFonts w:hint="default" w:ascii="仿宋_GB2312" w:hAnsi="仿宋_GB2312" w:eastAsia="仿宋_GB2312" w:cs="仿宋_GB2312"/>
                <w:kern w:val="0"/>
                <w:sz w:val="24"/>
                <w:szCs w:val="24"/>
                <w:lang w:val="en-US" w:eastAsia="zh-CN"/>
              </w:rPr>
            </w:pPr>
            <w:r>
              <w:rPr>
                <w:rFonts w:hint="eastAsia" w:ascii="仿宋_GB2312" w:hAnsi="等线" w:eastAsia="仿宋_GB2312"/>
                <w:color w:val="000000"/>
                <w:sz w:val="24"/>
                <w:szCs w:val="24"/>
                <w:lang w:val="en-US" w:eastAsia="zh-CN"/>
              </w:rPr>
              <w:t>66192</w:t>
            </w:r>
          </w:p>
        </w:tc>
        <w:tc>
          <w:tcPr>
            <w:tcW w:w="1465" w:type="dxa"/>
            <w:tcBorders>
              <w:top w:val="single" w:color="auto" w:sz="4" w:space="0"/>
              <w:left w:val="nil"/>
              <w:bottom w:val="single" w:color="auto" w:sz="4" w:space="0"/>
              <w:right w:val="single" w:color="auto" w:sz="4" w:space="0"/>
            </w:tcBorders>
            <w:vAlign w:val="center"/>
          </w:tcPr>
          <w:p w14:paraId="6B9416C7">
            <w:pPr>
              <w:widowControl/>
              <w:jc w:val="center"/>
              <w:rPr>
                <w:rFonts w:hint="eastAsia" w:ascii="仿宋_GB2312" w:hAnsi="仿宋_GB2312" w:eastAsia="仿宋_GB2312" w:cs="仿宋_GB2312"/>
                <w:kern w:val="0"/>
                <w:sz w:val="24"/>
                <w:szCs w:val="24"/>
              </w:rPr>
            </w:pPr>
            <w:r>
              <w:rPr>
                <w:rFonts w:hint="eastAsia" w:ascii="仿宋_GB2312" w:hAnsi="等线" w:eastAsia="仿宋_GB2312"/>
                <w:color w:val="000000"/>
                <w:sz w:val="24"/>
                <w:szCs w:val="24"/>
              </w:rPr>
              <w:t>57853</w:t>
            </w:r>
          </w:p>
        </w:tc>
        <w:tc>
          <w:tcPr>
            <w:tcW w:w="1465" w:type="dxa"/>
            <w:gridSpan w:val="2"/>
            <w:tcBorders>
              <w:top w:val="single" w:color="auto" w:sz="4" w:space="0"/>
              <w:left w:val="nil"/>
              <w:bottom w:val="single" w:color="auto" w:sz="4" w:space="0"/>
              <w:right w:val="single" w:color="auto" w:sz="4" w:space="0"/>
            </w:tcBorders>
            <w:vAlign w:val="center"/>
          </w:tcPr>
          <w:p w14:paraId="2B3AAE2E">
            <w:pPr>
              <w:widowControl/>
              <w:jc w:val="center"/>
              <w:rPr>
                <w:rFonts w:hint="default" w:ascii="仿宋_GB2312" w:hAnsi="仿宋_GB2312" w:eastAsia="仿宋_GB2312" w:cs="仿宋_GB2312"/>
                <w:kern w:val="0"/>
                <w:sz w:val="24"/>
                <w:szCs w:val="24"/>
                <w:lang w:val="en-US" w:eastAsia="zh-CN"/>
              </w:rPr>
            </w:pPr>
            <w:r>
              <w:rPr>
                <w:rFonts w:hint="eastAsia" w:ascii="仿宋_GB2312" w:hAnsi="等线" w:eastAsia="仿宋_GB2312"/>
                <w:color w:val="000000"/>
                <w:sz w:val="24"/>
                <w:szCs w:val="24"/>
                <w:lang w:val="en-US" w:eastAsia="zh-CN"/>
              </w:rPr>
              <w:t>8339</w:t>
            </w:r>
          </w:p>
        </w:tc>
        <w:tc>
          <w:tcPr>
            <w:tcW w:w="1714" w:type="dxa"/>
            <w:gridSpan w:val="2"/>
            <w:tcBorders>
              <w:top w:val="single" w:color="auto" w:sz="4" w:space="0"/>
              <w:left w:val="nil"/>
              <w:bottom w:val="single" w:color="auto" w:sz="4" w:space="0"/>
              <w:right w:val="single" w:color="auto" w:sz="4" w:space="0"/>
            </w:tcBorders>
            <w:vAlign w:val="center"/>
          </w:tcPr>
          <w:p w14:paraId="0538E51E">
            <w:pPr>
              <w:widowControl/>
              <w:jc w:val="left"/>
              <w:rPr>
                <w:rFonts w:hint="eastAsia" w:ascii="仿宋_GB2312" w:hAnsi="仿宋_GB2312" w:eastAsia="仿宋_GB2312" w:cs="仿宋_GB2312"/>
                <w:kern w:val="0"/>
                <w:sz w:val="24"/>
                <w:szCs w:val="24"/>
              </w:rPr>
            </w:pPr>
          </w:p>
        </w:tc>
      </w:tr>
      <w:tr w14:paraId="0E93919D">
        <w:tblPrEx>
          <w:tblCellMar>
            <w:top w:w="0" w:type="dxa"/>
            <w:left w:w="108" w:type="dxa"/>
            <w:bottom w:w="0" w:type="dxa"/>
            <w:right w:w="108" w:type="dxa"/>
          </w:tblCellMar>
        </w:tblPrEx>
        <w:trPr>
          <w:trHeight w:val="689" w:hRule="exact"/>
          <w:jc w:val="center"/>
        </w:trPr>
        <w:tc>
          <w:tcPr>
            <w:tcW w:w="724" w:type="dxa"/>
            <w:tcBorders>
              <w:top w:val="nil"/>
              <w:left w:val="single" w:color="auto" w:sz="4" w:space="0"/>
              <w:bottom w:val="single" w:color="auto" w:sz="4" w:space="0"/>
              <w:right w:val="single" w:color="auto" w:sz="4" w:space="0"/>
            </w:tcBorders>
            <w:vAlign w:val="center"/>
          </w:tcPr>
          <w:p w14:paraId="4C2DC605">
            <w:pPr>
              <w:widowControl/>
              <w:jc w:val="center"/>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val="en-US" w:eastAsia="zh-CN"/>
              </w:rPr>
              <w:t>二</w:t>
            </w:r>
          </w:p>
        </w:tc>
        <w:tc>
          <w:tcPr>
            <w:tcW w:w="2020" w:type="dxa"/>
            <w:tcBorders>
              <w:top w:val="nil"/>
              <w:left w:val="nil"/>
              <w:bottom w:val="single" w:color="auto" w:sz="4" w:space="0"/>
              <w:right w:val="single" w:color="auto" w:sz="4" w:space="0"/>
            </w:tcBorders>
            <w:noWrap/>
            <w:vAlign w:val="center"/>
          </w:tcPr>
          <w:p w14:paraId="13128064">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不可预见费</w:t>
            </w:r>
          </w:p>
        </w:tc>
        <w:tc>
          <w:tcPr>
            <w:tcW w:w="1465" w:type="dxa"/>
            <w:tcBorders>
              <w:top w:val="nil"/>
              <w:left w:val="nil"/>
              <w:bottom w:val="single" w:color="auto" w:sz="4" w:space="0"/>
              <w:right w:val="single" w:color="auto" w:sz="4" w:space="0"/>
            </w:tcBorders>
            <w:noWrap/>
            <w:vAlign w:val="center"/>
          </w:tcPr>
          <w:p w14:paraId="47D4363F">
            <w:pPr>
              <w:widowControl/>
              <w:jc w:val="center"/>
              <w:rPr>
                <w:rFonts w:hint="eastAsia" w:ascii="仿宋_GB2312" w:hAnsi="仿宋_GB2312" w:eastAsia="仿宋_GB2312" w:cs="仿宋_GB2312"/>
                <w:kern w:val="0"/>
                <w:sz w:val="24"/>
                <w:szCs w:val="24"/>
                <w:lang w:eastAsia="zh-CN"/>
              </w:rPr>
            </w:pPr>
            <w:r>
              <w:rPr>
                <w:rFonts w:hint="eastAsia" w:ascii="仿宋_GB2312" w:hAnsi="等线" w:eastAsia="仿宋_GB2312"/>
                <w:color w:val="000000"/>
                <w:sz w:val="24"/>
                <w:szCs w:val="24"/>
                <w:lang w:val="en-US" w:eastAsia="zh-CN"/>
              </w:rPr>
              <w:t>0</w:t>
            </w:r>
          </w:p>
        </w:tc>
        <w:tc>
          <w:tcPr>
            <w:tcW w:w="1465" w:type="dxa"/>
            <w:tcBorders>
              <w:top w:val="nil"/>
              <w:left w:val="nil"/>
              <w:bottom w:val="single" w:color="auto" w:sz="4" w:space="0"/>
              <w:right w:val="single" w:color="auto" w:sz="4" w:space="0"/>
            </w:tcBorders>
            <w:noWrap/>
            <w:vAlign w:val="center"/>
          </w:tcPr>
          <w:p w14:paraId="3331F863">
            <w:pPr>
              <w:widowControl/>
              <w:jc w:val="center"/>
              <w:rPr>
                <w:rFonts w:hint="default" w:ascii="仿宋_GB2312" w:hAnsi="仿宋_GB2312" w:eastAsia="仿宋_GB2312" w:cs="仿宋_GB2312"/>
                <w:kern w:val="0"/>
                <w:sz w:val="24"/>
                <w:szCs w:val="24"/>
                <w:lang w:val="en-US" w:eastAsia="zh-CN"/>
              </w:rPr>
            </w:pPr>
            <w:r>
              <w:rPr>
                <w:rFonts w:hint="eastAsia" w:ascii="仿宋_GB2312" w:hAnsi="等线" w:eastAsia="仿宋_GB2312"/>
                <w:color w:val="000000"/>
                <w:sz w:val="24"/>
                <w:szCs w:val="24"/>
                <w:lang w:val="en-US" w:eastAsia="zh-CN"/>
              </w:rPr>
              <w:t>1736</w:t>
            </w:r>
          </w:p>
        </w:tc>
        <w:tc>
          <w:tcPr>
            <w:tcW w:w="1465" w:type="dxa"/>
            <w:gridSpan w:val="2"/>
            <w:tcBorders>
              <w:top w:val="nil"/>
              <w:left w:val="nil"/>
              <w:bottom w:val="single" w:color="auto" w:sz="4" w:space="0"/>
              <w:right w:val="single" w:color="auto" w:sz="4" w:space="0"/>
            </w:tcBorders>
            <w:vAlign w:val="center"/>
          </w:tcPr>
          <w:p w14:paraId="1F12BE37">
            <w:pPr>
              <w:widowControl/>
              <w:jc w:val="center"/>
              <w:rPr>
                <w:rFonts w:hint="default" w:ascii="仿宋_GB2312" w:hAnsi="仿宋_GB2312" w:eastAsia="仿宋_GB2312" w:cs="仿宋_GB2312"/>
                <w:kern w:val="0"/>
                <w:sz w:val="24"/>
                <w:szCs w:val="24"/>
                <w:lang w:val="en-US" w:eastAsia="zh-CN"/>
              </w:rPr>
            </w:pPr>
            <w:r>
              <w:rPr>
                <w:rFonts w:hint="eastAsia" w:ascii="仿宋_GB2312" w:hAnsi="等线" w:eastAsia="仿宋_GB2312"/>
                <w:color w:val="000000"/>
                <w:sz w:val="24"/>
                <w:szCs w:val="24"/>
                <w:lang w:val="en-US" w:eastAsia="zh-CN"/>
              </w:rPr>
              <w:t>-1736</w:t>
            </w:r>
          </w:p>
        </w:tc>
        <w:tc>
          <w:tcPr>
            <w:tcW w:w="1714" w:type="dxa"/>
            <w:gridSpan w:val="2"/>
            <w:tcBorders>
              <w:top w:val="nil"/>
              <w:left w:val="nil"/>
              <w:bottom w:val="single" w:color="auto" w:sz="4" w:space="0"/>
              <w:right w:val="single" w:color="auto" w:sz="4" w:space="0"/>
            </w:tcBorders>
            <w:vAlign w:val="center"/>
          </w:tcPr>
          <w:p w14:paraId="2D180C10">
            <w:pPr>
              <w:widowControl/>
              <w:jc w:val="center"/>
              <w:rPr>
                <w:rFonts w:hint="eastAsia" w:ascii="仿宋_GB2312" w:hAnsi="仿宋_GB2312" w:eastAsia="仿宋_GB2312" w:cs="仿宋_GB2312"/>
                <w:kern w:val="0"/>
                <w:sz w:val="24"/>
                <w:szCs w:val="24"/>
              </w:rPr>
            </w:pPr>
            <w:r>
              <w:rPr>
                <w:rFonts w:hint="eastAsia" w:ascii="仿宋_GB2312" w:hAnsi="等线" w:eastAsia="仿宋_GB2312"/>
                <w:color w:val="000000"/>
                <w:sz w:val="24"/>
                <w:szCs w:val="24"/>
              </w:rPr>
              <w:t>工程费的3%</w:t>
            </w:r>
          </w:p>
        </w:tc>
      </w:tr>
      <w:tr w14:paraId="67F897D0">
        <w:tblPrEx>
          <w:tblCellMar>
            <w:top w:w="0" w:type="dxa"/>
            <w:left w:w="108" w:type="dxa"/>
            <w:bottom w:w="0" w:type="dxa"/>
            <w:right w:w="108" w:type="dxa"/>
          </w:tblCellMar>
        </w:tblPrEx>
        <w:trPr>
          <w:trHeight w:val="567" w:hRule="exact"/>
          <w:jc w:val="center"/>
        </w:trPr>
        <w:tc>
          <w:tcPr>
            <w:tcW w:w="724" w:type="dxa"/>
            <w:tcBorders>
              <w:top w:val="nil"/>
              <w:left w:val="single" w:color="auto" w:sz="4" w:space="0"/>
              <w:bottom w:val="single" w:color="auto" w:sz="4" w:space="0"/>
              <w:right w:val="single" w:color="auto" w:sz="4" w:space="0"/>
            </w:tcBorders>
            <w:vAlign w:val="center"/>
          </w:tcPr>
          <w:p w14:paraId="4E45F8AB">
            <w:pPr>
              <w:widowControl/>
              <w:jc w:val="center"/>
              <w:rPr>
                <w:rFonts w:hint="eastAsia" w:ascii="仿宋_GB2312" w:hAnsi="仿宋_GB2312" w:eastAsia="仿宋_GB2312" w:cs="仿宋_GB2312"/>
                <w:kern w:val="0"/>
                <w:sz w:val="24"/>
                <w:szCs w:val="24"/>
              </w:rPr>
            </w:pPr>
          </w:p>
        </w:tc>
        <w:tc>
          <w:tcPr>
            <w:tcW w:w="2020" w:type="dxa"/>
            <w:tcBorders>
              <w:top w:val="nil"/>
              <w:left w:val="nil"/>
              <w:bottom w:val="single" w:color="auto" w:sz="4" w:space="0"/>
              <w:right w:val="single" w:color="auto" w:sz="4" w:space="0"/>
            </w:tcBorders>
            <w:vAlign w:val="center"/>
          </w:tcPr>
          <w:p w14:paraId="6D61A0A5">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合  计</w:t>
            </w:r>
          </w:p>
        </w:tc>
        <w:tc>
          <w:tcPr>
            <w:tcW w:w="1465" w:type="dxa"/>
            <w:tcBorders>
              <w:top w:val="nil"/>
              <w:left w:val="nil"/>
              <w:bottom w:val="single" w:color="auto" w:sz="4" w:space="0"/>
              <w:right w:val="single" w:color="auto" w:sz="4" w:space="0"/>
            </w:tcBorders>
            <w:vAlign w:val="center"/>
          </w:tcPr>
          <w:p w14:paraId="555CC2B1">
            <w:pPr>
              <w:widowControl/>
              <w:jc w:val="center"/>
              <w:rPr>
                <w:rFonts w:hint="default" w:ascii="仿宋_GB2312" w:hAnsi="仿宋_GB2312" w:eastAsia="仿宋_GB2312" w:cs="仿宋_GB2312"/>
                <w:kern w:val="0"/>
                <w:sz w:val="24"/>
                <w:szCs w:val="24"/>
                <w:lang w:val="en-US" w:eastAsia="zh-CN"/>
              </w:rPr>
            </w:pPr>
            <w:r>
              <w:rPr>
                <w:rFonts w:hint="eastAsia" w:ascii="仿宋_GB2312" w:hAnsi="等线" w:eastAsia="仿宋_GB2312"/>
                <w:color w:val="000000"/>
                <w:sz w:val="24"/>
                <w:szCs w:val="24"/>
                <w:lang w:val="en-US" w:eastAsia="zh-CN"/>
              </w:rPr>
              <w:t>66192</w:t>
            </w:r>
          </w:p>
        </w:tc>
        <w:tc>
          <w:tcPr>
            <w:tcW w:w="1465" w:type="dxa"/>
            <w:tcBorders>
              <w:top w:val="nil"/>
              <w:left w:val="nil"/>
              <w:bottom w:val="single" w:color="auto" w:sz="4" w:space="0"/>
              <w:right w:val="single" w:color="auto" w:sz="4" w:space="0"/>
            </w:tcBorders>
            <w:vAlign w:val="center"/>
          </w:tcPr>
          <w:p w14:paraId="62A5D7BE">
            <w:pPr>
              <w:widowControl/>
              <w:jc w:val="center"/>
              <w:rPr>
                <w:rFonts w:hint="default" w:ascii="仿宋_GB2312" w:hAnsi="仿宋_GB2312" w:eastAsia="仿宋_GB2312" w:cs="仿宋_GB2312"/>
                <w:kern w:val="0"/>
                <w:sz w:val="24"/>
                <w:szCs w:val="24"/>
                <w:lang w:val="en-US" w:eastAsia="zh-CN"/>
              </w:rPr>
            </w:pPr>
            <w:r>
              <w:rPr>
                <w:rFonts w:hint="eastAsia" w:ascii="仿宋_GB2312" w:hAnsi="等线" w:eastAsia="仿宋_GB2312"/>
                <w:color w:val="000000"/>
                <w:sz w:val="24"/>
                <w:szCs w:val="24"/>
                <w:lang w:val="en-US" w:eastAsia="zh-CN"/>
              </w:rPr>
              <w:t>59589</w:t>
            </w:r>
          </w:p>
        </w:tc>
        <w:tc>
          <w:tcPr>
            <w:tcW w:w="1465" w:type="dxa"/>
            <w:gridSpan w:val="2"/>
            <w:tcBorders>
              <w:top w:val="nil"/>
              <w:left w:val="nil"/>
              <w:bottom w:val="single" w:color="auto" w:sz="4" w:space="0"/>
              <w:right w:val="single" w:color="auto" w:sz="4" w:space="0"/>
            </w:tcBorders>
            <w:vAlign w:val="center"/>
          </w:tcPr>
          <w:p w14:paraId="0F526CE4">
            <w:pPr>
              <w:widowControl/>
              <w:jc w:val="center"/>
              <w:rPr>
                <w:rFonts w:hint="default" w:ascii="仿宋_GB2312" w:hAnsi="仿宋_GB2312" w:eastAsia="仿宋_GB2312" w:cs="仿宋_GB2312"/>
                <w:kern w:val="0"/>
                <w:sz w:val="24"/>
                <w:szCs w:val="24"/>
                <w:lang w:val="en-US" w:eastAsia="zh-CN"/>
              </w:rPr>
            </w:pPr>
            <w:r>
              <w:rPr>
                <w:rFonts w:hint="eastAsia" w:ascii="仿宋_GB2312" w:hAnsi="等线" w:eastAsia="仿宋_GB2312"/>
                <w:color w:val="000000"/>
                <w:sz w:val="24"/>
                <w:szCs w:val="24"/>
                <w:lang w:val="en-US" w:eastAsia="zh-CN"/>
              </w:rPr>
              <w:t>6603</w:t>
            </w:r>
          </w:p>
        </w:tc>
        <w:tc>
          <w:tcPr>
            <w:tcW w:w="1714" w:type="dxa"/>
            <w:gridSpan w:val="2"/>
            <w:tcBorders>
              <w:top w:val="nil"/>
              <w:left w:val="nil"/>
              <w:bottom w:val="single" w:color="auto" w:sz="4" w:space="0"/>
              <w:right w:val="single" w:color="auto" w:sz="4" w:space="0"/>
            </w:tcBorders>
            <w:vAlign w:val="center"/>
          </w:tcPr>
          <w:p w14:paraId="68282AA3">
            <w:pPr>
              <w:widowControl/>
              <w:jc w:val="center"/>
              <w:rPr>
                <w:rFonts w:hint="eastAsia" w:ascii="仿宋_GB2312" w:hAnsi="仿宋_GB2312" w:eastAsia="仿宋_GB2312" w:cs="仿宋_GB2312"/>
                <w:kern w:val="0"/>
                <w:sz w:val="24"/>
                <w:szCs w:val="24"/>
              </w:rPr>
            </w:pPr>
            <w:r>
              <w:rPr>
                <w:rFonts w:hint="eastAsia" w:ascii="仿宋_GB2312" w:hAnsi="等线" w:eastAsia="仿宋_GB2312"/>
                <w:color w:val="000000"/>
                <w:sz w:val="24"/>
                <w:szCs w:val="24"/>
              </w:rPr>
              <w:t>审减率</w:t>
            </w:r>
            <w:r>
              <w:rPr>
                <w:rFonts w:hint="eastAsia" w:ascii="仿宋_GB2312" w:hAnsi="等线" w:eastAsia="仿宋_GB2312"/>
                <w:color w:val="000000"/>
                <w:sz w:val="24"/>
                <w:szCs w:val="24"/>
                <w:lang w:val="en-US" w:eastAsia="zh-CN"/>
              </w:rPr>
              <w:t>9</w:t>
            </w:r>
            <w:r>
              <w:rPr>
                <w:rFonts w:hint="eastAsia" w:ascii="仿宋_GB2312" w:hAnsi="等线" w:eastAsia="仿宋_GB2312"/>
                <w:color w:val="000000"/>
                <w:sz w:val="24"/>
                <w:szCs w:val="24"/>
              </w:rPr>
              <w:t>.</w:t>
            </w:r>
            <w:r>
              <w:rPr>
                <w:rFonts w:hint="eastAsia" w:ascii="仿宋_GB2312" w:hAnsi="等线" w:eastAsia="仿宋_GB2312"/>
                <w:color w:val="000000"/>
                <w:sz w:val="24"/>
                <w:szCs w:val="24"/>
                <w:lang w:val="en-US" w:eastAsia="zh-CN"/>
              </w:rPr>
              <w:t>98</w:t>
            </w:r>
            <w:r>
              <w:rPr>
                <w:rFonts w:hint="eastAsia" w:ascii="仿宋_GB2312" w:hAnsi="等线" w:eastAsia="仿宋_GB2312"/>
                <w:color w:val="000000"/>
                <w:sz w:val="24"/>
                <w:szCs w:val="24"/>
              </w:rPr>
              <w:t>%</w:t>
            </w:r>
          </w:p>
        </w:tc>
      </w:tr>
    </w:tbl>
    <w:p w14:paraId="46B5160B"/>
    <w:sectPr>
      <w:pgSz w:w="11906" w:h="16838"/>
      <w:pgMar w:top="2154" w:right="1531" w:bottom="1440" w:left="1531"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等线">
    <w:altName w:val="Arial Unicode MS"/>
    <w:panose1 w:val="02010600030101010101"/>
    <w:charset w:val="86"/>
    <w:family w:val="auto"/>
    <w:pitch w:val="default"/>
    <w:sig w:usb0="00000000" w:usb1="00000000" w:usb2="00000016" w:usb3="00000000" w:csb0="0004000F" w:csb1="00000000"/>
  </w:font>
  <w:font w:name="方正仿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2232F0"/>
    <w:multiLevelType w:val="multilevel"/>
    <w:tmpl w:val="012232F0"/>
    <w:lvl w:ilvl="0" w:tentative="0">
      <w:start w:val="1"/>
      <w:numFmt w:val="decimal"/>
      <w:suff w:val="space"/>
      <w:lvlText w:val="%1."/>
      <w:lvlJc w:val="left"/>
      <w:pPr>
        <w:ind w:left="1080" w:hanging="440"/>
      </w:pPr>
      <w:rPr>
        <w:rFonts w:hint="eastAsia"/>
      </w:r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C95"/>
    <w:rsid w:val="00000756"/>
    <w:rsid w:val="00085B23"/>
    <w:rsid w:val="001215E9"/>
    <w:rsid w:val="00124BA6"/>
    <w:rsid w:val="001479F8"/>
    <w:rsid w:val="00224739"/>
    <w:rsid w:val="002550DA"/>
    <w:rsid w:val="00293F9D"/>
    <w:rsid w:val="002A76CD"/>
    <w:rsid w:val="0030666D"/>
    <w:rsid w:val="003459A7"/>
    <w:rsid w:val="00355006"/>
    <w:rsid w:val="003C1927"/>
    <w:rsid w:val="00484DFC"/>
    <w:rsid w:val="004A70E5"/>
    <w:rsid w:val="004D08C3"/>
    <w:rsid w:val="00530125"/>
    <w:rsid w:val="00597761"/>
    <w:rsid w:val="005C25C6"/>
    <w:rsid w:val="005E03B0"/>
    <w:rsid w:val="00617840"/>
    <w:rsid w:val="006365E1"/>
    <w:rsid w:val="00643849"/>
    <w:rsid w:val="00684E64"/>
    <w:rsid w:val="006908F6"/>
    <w:rsid w:val="006F4ED8"/>
    <w:rsid w:val="007674DA"/>
    <w:rsid w:val="00783187"/>
    <w:rsid w:val="007977F1"/>
    <w:rsid w:val="00885C95"/>
    <w:rsid w:val="008949B8"/>
    <w:rsid w:val="008C6E6E"/>
    <w:rsid w:val="009729BD"/>
    <w:rsid w:val="00983433"/>
    <w:rsid w:val="00987E15"/>
    <w:rsid w:val="009A5363"/>
    <w:rsid w:val="009D0076"/>
    <w:rsid w:val="009D294F"/>
    <w:rsid w:val="009E1678"/>
    <w:rsid w:val="009E3E4E"/>
    <w:rsid w:val="00A20CF8"/>
    <w:rsid w:val="00A83634"/>
    <w:rsid w:val="00AE318F"/>
    <w:rsid w:val="00B10D36"/>
    <w:rsid w:val="00B131C8"/>
    <w:rsid w:val="00B13E31"/>
    <w:rsid w:val="00B57111"/>
    <w:rsid w:val="00B97A21"/>
    <w:rsid w:val="00BD2724"/>
    <w:rsid w:val="00BF1B1B"/>
    <w:rsid w:val="00C160E8"/>
    <w:rsid w:val="00C3151B"/>
    <w:rsid w:val="00C363A1"/>
    <w:rsid w:val="00C60121"/>
    <w:rsid w:val="00C810E0"/>
    <w:rsid w:val="00C879BE"/>
    <w:rsid w:val="00CB2A73"/>
    <w:rsid w:val="00CC1F81"/>
    <w:rsid w:val="00D40239"/>
    <w:rsid w:val="00D45129"/>
    <w:rsid w:val="00D505AA"/>
    <w:rsid w:val="00D62C9B"/>
    <w:rsid w:val="00D83731"/>
    <w:rsid w:val="00DA4780"/>
    <w:rsid w:val="00DB1BF1"/>
    <w:rsid w:val="00DC5B31"/>
    <w:rsid w:val="00DD2057"/>
    <w:rsid w:val="00DE41FE"/>
    <w:rsid w:val="00E254A1"/>
    <w:rsid w:val="00ED1673"/>
    <w:rsid w:val="00F67CB7"/>
    <w:rsid w:val="00F85FF3"/>
    <w:rsid w:val="00FE121F"/>
    <w:rsid w:val="00FE4C73"/>
    <w:rsid w:val="29181B2E"/>
    <w:rsid w:val="2CC10B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qFormat="1"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22"/>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4">
    <w:name w:val="heading 2"/>
    <w:basedOn w:val="1"/>
    <w:next w:val="1"/>
    <w:link w:val="23"/>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5">
    <w:name w:val="heading 3"/>
    <w:basedOn w:val="1"/>
    <w:next w:val="1"/>
    <w:link w:val="24"/>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6">
    <w:name w:val="heading 4"/>
    <w:basedOn w:val="1"/>
    <w:next w:val="1"/>
    <w:link w:val="25"/>
    <w:semiHidden/>
    <w:unhideWhenUsed/>
    <w:qFormat/>
    <w:uiPriority w:val="9"/>
    <w:pPr>
      <w:keepNext/>
      <w:keepLines/>
      <w:spacing w:before="80" w:after="40"/>
      <w:outlineLvl w:val="3"/>
    </w:pPr>
    <w:rPr>
      <w:rFonts w:asciiTheme="minorHAnsi" w:hAnsiTheme="minorHAnsi" w:eastAsiaTheme="minorEastAsia" w:cstheme="majorBidi"/>
      <w:color w:val="2F5597" w:themeColor="accent1" w:themeShade="BF"/>
      <w:sz w:val="28"/>
      <w:szCs w:val="28"/>
    </w:rPr>
  </w:style>
  <w:style w:type="paragraph" w:styleId="7">
    <w:name w:val="heading 5"/>
    <w:basedOn w:val="1"/>
    <w:next w:val="1"/>
    <w:link w:val="26"/>
    <w:semiHidden/>
    <w:unhideWhenUsed/>
    <w:qFormat/>
    <w:uiPriority w:val="9"/>
    <w:pPr>
      <w:keepNext/>
      <w:keepLines/>
      <w:spacing w:before="80" w:after="40"/>
      <w:outlineLvl w:val="4"/>
    </w:pPr>
    <w:rPr>
      <w:rFonts w:asciiTheme="minorHAnsi" w:hAnsiTheme="minorHAnsi" w:eastAsiaTheme="minorEastAsia" w:cstheme="majorBidi"/>
      <w:color w:val="2F5597" w:themeColor="accent1" w:themeShade="BF"/>
      <w:sz w:val="24"/>
    </w:rPr>
  </w:style>
  <w:style w:type="paragraph" w:styleId="8">
    <w:name w:val="heading 6"/>
    <w:basedOn w:val="1"/>
    <w:next w:val="1"/>
    <w:link w:val="27"/>
    <w:semiHidden/>
    <w:unhideWhenUsed/>
    <w:qFormat/>
    <w:uiPriority w:val="9"/>
    <w:pPr>
      <w:keepNext/>
      <w:keepLines/>
      <w:spacing w:before="40"/>
      <w:outlineLvl w:val="5"/>
    </w:pPr>
    <w:rPr>
      <w:rFonts w:asciiTheme="minorHAnsi" w:hAnsiTheme="minorHAnsi" w:eastAsiaTheme="minorEastAsia" w:cstheme="majorBidi"/>
      <w:b/>
      <w:bCs/>
      <w:color w:val="2F5597" w:themeColor="accent1" w:themeShade="BF"/>
      <w:sz w:val="24"/>
    </w:rPr>
  </w:style>
  <w:style w:type="paragraph" w:styleId="9">
    <w:name w:val="heading 7"/>
    <w:basedOn w:val="1"/>
    <w:next w:val="1"/>
    <w:link w:val="28"/>
    <w:semiHidden/>
    <w:unhideWhenUsed/>
    <w:qFormat/>
    <w:uiPriority w:val="9"/>
    <w:pPr>
      <w:keepNext/>
      <w:keepLines/>
      <w:spacing w:before="40"/>
      <w:outlineLvl w:val="6"/>
    </w:pPr>
    <w:rPr>
      <w:rFonts w:asciiTheme="minorHAnsi" w:hAnsiTheme="minorHAnsi" w:eastAsiaTheme="minorEastAsia" w:cstheme="majorBidi"/>
      <w:b/>
      <w:bCs/>
      <w:color w:val="595959" w:themeColor="text1" w:themeTint="A6"/>
      <w:sz w:val="24"/>
      <w14:textFill>
        <w14:solidFill>
          <w14:schemeClr w14:val="tx1">
            <w14:lumMod w14:val="65000"/>
            <w14:lumOff w14:val="35000"/>
          </w14:schemeClr>
        </w14:solidFill>
      </w14:textFill>
    </w:rPr>
  </w:style>
  <w:style w:type="paragraph" w:styleId="10">
    <w:name w:val="heading 8"/>
    <w:basedOn w:val="1"/>
    <w:next w:val="1"/>
    <w:link w:val="29"/>
    <w:semiHidden/>
    <w:unhideWhenUsed/>
    <w:qFormat/>
    <w:uiPriority w:val="9"/>
    <w:pPr>
      <w:keepNext/>
      <w:keepLines/>
      <w:outlineLvl w:val="7"/>
    </w:pPr>
    <w:rPr>
      <w:rFonts w:asciiTheme="minorHAnsi" w:hAnsiTheme="minorHAnsi" w:eastAsiaTheme="minorEastAsia" w:cstheme="majorBidi"/>
      <w:color w:val="595959" w:themeColor="text1" w:themeTint="A6"/>
      <w:sz w:val="24"/>
      <w14:textFill>
        <w14:solidFill>
          <w14:schemeClr w14:val="tx1">
            <w14:lumMod w14:val="65000"/>
            <w14:lumOff w14:val="35000"/>
          </w14:schemeClr>
        </w14:solidFill>
      </w14:textFill>
    </w:rPr>
  </w:style>
  <w:style w:type="paragraph" w:styleId="11">
    <w:name w:val="heading 9"/>
    <w:basedOn w:val="1"/>
    <w:next w:val="1"/>
    <w:link w:val="30"/>
    <w:semiHidden/>
    <w:unhideWhenUsed/>
    <w:qFormat/>
    <w:uiPriority w:val="9"/>
    <w:pPr>
      <w:keepNext/>
      <w:keepLines/>
      <w:outlineLvl w:val="8"/>
    </w:pPr>
    <w:rPr>
      <w:rFonts w:asciiTheme="minorHAnsi" w:hAnsiTheme="minorHAnsi" w:eastAsiaTheme="majorEastAsia" w:cstheme="majorBidi"/>
      <w:color w:val="595959" w:themeColor="text1" w:themeTint="A6"/>
      <w:sz w:val="24"/>
      <w14:textFill>
        <w14:solidFill>
          <w14:schemeClr w14:val="tx1">
            <w14:lumMod w14:val="65000"/>
            <w14:lumOff w14:val="35000"/>
          </w14:schemeClr>
        </w14:solidFill>
      </w14:textFill>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40"/>
    <w:qFormat/>
    <w:uiPriority w:val="0"/>
    <w:pPr>
      <w:spacing w:line="588" w:lineRule="atLeast"/>
    </w:pPr>
    <w:rPr>
      <w:rFonts w:eastAsia="方正仿宋_GBK"/>
      <w:spacing w:val="6"/>
      <w:sz w:val="30"/>
      <w:szCs w:val="22"/>
    </w:rPr>
  </w:style>
  <w:style w:type="paragraph" w:styleId="12">
    <w:name w:val="Body Text"/>
    <w:basedOn w:val="1"/>
    <w:next w:val="13"/>
    <w:link w:val="41"/>
    <w:semiHidden/>
    <w:qFormat/>
    <w:uiPriority w:val="0"/>
    <w:rPr>
      <w:rFonts w:ascii="Arial" w:hAnsi="Arial" w:eastAsia="Arial" w:cs="Arial"/>
      <w:szCs w:val="21"/>
      <w:lang w:eastAsia="en-US"/>
    </w:rPr>
  </w:style>
  <w:style w:type="paragraph" w:styleId="13">
    <w:name w:val="toc 9"/>
    <w:basedOn w:val="1"/>
    <w:next w:val="1"/>
    <w:autoRedefine/>
    <w:semiHidden/>
    <w:unhideWhenUsed/>
    <w:qFormat/>
    <w:uiPriority w:val="39"/>
    <w:pPr>
      <w:ind w:left="3360" w:leftChars="1600"/>
    </w:pPr>
  </w:style>
  <w:style w:type="paragraph" w:styleId="14">
    <w:name w:val="Body Text Indent"/>
    <w:basedOn w:val="1"/>
    <w:next w:val="15"/>
    <w:link w:val="42"/>
    <w:qFormat/>
    <w:uiPriority w:val="0"/>
    <w:pPr>
      <w:ind w:firstLine="600" w:firstLineChars="200"/>
    </w:pPr>
    <w:rPr>
      <w:rFonts w:eastAsia="仿宋_GB2312"/>
      <w:sz w:val="30"/>
    </w:rPr>
  </w:style>
  <w:style w:type="paragraph" w:styleId="15">
    <w:name w:val="envelope return"/>
    <w:basedOn w:val="1"/>
    <w:semiHidden/>
    <w:unhideWhenUsed/>
    <w:qFormat/>
    <w:uiPriority w:val="99"/>
    <w:pPr>
      <w:snapToGrid w:val="0"/>
    </w:pPr>
    <w:rPr>
      <w:rFonts w:asciiTheme="majorHAnsi" w:hAnsiTheme="majorHAnsi" w:eastAsiaTheme="majorEastAsia" w:cstheme="majorBidi"/>
    </w:rPr>
  </w:style>
  <w:style w:type="paragraph" w:styleId="16">
    <w:name w:val="footer"/>
    <w:basedOn w:val="1"/>
    <w:link w:val="44"/>
    <w:unhideWhenUsed/>
    <w:qFormat/>
    <w:uiPriority w:val="99"/>
    <w:pPr>
      <w:tabs>
        <w:tab w:val="center" w:pos="4153"/>
        <w:tab w:val="right" w:pos="8306"/>
      </w:tabs>
      <w:snapToGrid w:val="0"/>
      <w:jc w:val="left"/>
    </w:pPr>
    <w:rPr>
      <w:sz w:val="18"/>
      <w:szCs w:val="18"/>
    </w:rPr>
  </w:style>
  <w:style w:type="paragraph" w:styleId="17">
    <w:name w:val="header"/>
    <w:basedOn w:val="1"/>
    <w:link w:val="43"/>
    <w:unhideWhenUsed/>
    <w:qFormat/>
    <w:uiPriority w:val="99"/>
    <w:pPr>
      <w:tabs>
        <w:tab w:val="center" w:pos="4153"/>
        <w:tab w:val="right" w:pos="8306"/>
      </w:tabs>
      <w:snapToGrid w:val="0"/>
      <w:jc w:val="center"/>
    </w:pPr>
    <w:rPr>
      <w:sz w:val="18"/>
      <w:szCs w:val="18"/>
    </w:rPr>
  </w:style>
  <w:style w:type="paragraph" w:styleId="18">
    <w:name w:val="Subtitle"/>
    <w:basedOn w:val="1"/>
    <w:next w:val="1"/>
    <w:link w:val="32"/>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9">
    <w:name w:val="Title"/>
    <w:basedOn w:val="1"/>
    <w:next w:val="1"/>
    <w:link w:val="31"/>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22">
    <w:name w:val="标题 1 字符"/>
    <w:basedOn w:val="21"/>
    <w:link w:val="3"/>
    <w:qFormat/>
    <w:uiPriority w:val="9"/>
    <w:rPr>
      <w:rFonts w:asciiTheme="majorHAnsi" w:hAnsiTheme="majorHAnsi" w:eastAsiaTheme="majorEastAsia" w:cstheme="majorBidi"/>
      <w:color w:val="2F5597" w:themeColor="accent1" w:themeShade="BF"/>
      <w:sz w:val="48"/>
      <w:szCs w:val="48"/>
    </w:rPr>
  </w:style>
  <w:style w:type="character" w:customStyle="1" w:styleId="23">
    <w:name w:val="标题 2 字符"/>
    <w:basedOn w:val="21"/>
    <w:link w:val="4"/>
    <w:semiHidden/>
    <w:qFormat/>
    <w:uiPriority w:val="9"/>
    <w:rPr>
      <w:rFonts w:asciiTheme="majorHAnsi" w:hAnsiTheme="majorHAnsi" w:eastAsiaTheme="majorEastAsia" w:cstheme="majorBidi"/>
      <w:color w:val="2F5597" w:themeColor="accent1" w:themeShade="BF"/>
      <w:sz w:val="40"/>
      <w:szCs w:val="40"/>
    </w:rPr>
  </w:style>
  <w:style w:type="character" w:customStyle="1" w:styleId="24">
    <w:name w:val="标题 3 字符"/>
    <w:basedOn w:val="21"/>
    <w:link w:val="5"/>
    <w:semiHidden/>
    <w:qFormat/>
    <w:uiPriority w:val="9"/>
    <w:rPr>
      <w:rFonts w:asciiTheme="majorHAnsi" w:hAnsiTheme="majorHAnsi" w:eastAsiaTheme="majorEastAsia" w:cstheme="majorBidi"/>
      <w:color w:val="2F5597" w:themeColor="accent1" w:themeShade="BF"/>
      <w:sz w:val="32"/>
      <w:szCs w:val="32"/>
    </w:rPr>
  </w:style>
  <w:style w:type="character" w:customStyle="1" w:styleId="25">
    <w:name w:val="标题 4 字符"/>
    <w:basedOn w:val="21"/>
    <w:link w:val="6"/>
    <w:semiHidden/>
    <w:qFormat/>
    <w:uiPriority w:val="9"/>
    <w:rPr>
      <w:rFonts w:cstheme="majorBidi"/>
      <w:color w:val="2F5597" w:themeColor="accent1" w:themeShade="BF"/>
      <w:sz w:val="28"/>
      <w:szCs w:val="28"/>
    </w:rPr>
  </w:style>
  <w:style w:type="character" w:customStyle="1" w:styleId="26">
    <w:name w:val="标题 5 字符"/>
    <w:basedOn w:val="21"/>
    <w:link w:val="7"/>
    <w:semiHidden/>
    <w:qFormat/>
    <w:uiPriority w:val="9"/>
    <w:rPr>
      <w:rFonts w:cstheme="majorBidi"/>
      <w:color w:val="2F5597" w:themeColor="accent1" w:themeShade="BF"/>
      <w:sz w:val="24"/>
      <w:szCs w:val="24"/>
    </w:rPr>
  </w:style>
  <w:style w:type="character" w:customStyle="1" w:styleId="27">
    <w:name w:val="标题 6 字符"/>
    <w:basedOn w:val="21"/>
    <w:link w:val="8"/>
    <w:semiHidden/>
    <w:qFormat/>
    <w:uiPriority w:val="9"/>
    <w:rPr>
      <w:rFonts w:cstheme="majorBidi"/>
      <w:b/>
      <w:bCs/>
      <w:color w:val="2F5597" w:themeColor="accent1" w:themeShade="BF"/>
      <w:sz w:val="24"/>
      <w:szCs w:val="24"/>
    </w:rPr>
  </w:style>
  <w:style w:type="character" w:customStyle="1" w:styleId="28">
    <w:name w:val="标题 7 字符"/>
    <w:basedOn w:val="21"/>
    <w:link w:val="9"/>
    <w:semiHidden/>
    <w:qFormat/>
    <w:uiPriority w:val="9"/>
    <w:rPr>
      <w:rFonts w:cstheme="majorBidi"/>
      <w:b/>
      <w:bCs/>
      <w:color w:val="595959" w:themeColor="text1" w:themeTint="A6"/>
      <w:sz w:val="24"/>
      <w:szCs w:val="24"/>
      <w14:textFill>
        <w14:solidFill>
          <w14:schemeClr w14:val="tx1">
            <w14:lumMod w14:val="65000"/>
            <w14:lumOff w14:val="35000"/>
          </w14:schemeClr>
        </w14:solidFill>
      </w14:textFill>
    </w:rPr>
  </w:style>
  <w:style w:type="character" w:customStyle="1" w:styleId="29">
    <w:name w:val="标题 8 字符"/>
    <w:basedOn w:val="21"/>
    <w:link w:val="10"/>
    <w:semiHidden/>
    <w:qFormat/>
    <w:uiPriority w:val="9"/>
    <w:rPr>
      <w:rFonts w:cstheme="majorBidi"/>
      <w:color w:val="595959" w:themeColor="text1" w:themeTint="A6"/>
      <w:sz w:val="24"/>
      <w:szCs w:val="24"/>
      <w14:textFill>
        <w14:solidFill>
          <w14:schemeClr w14:val="tx1">
            <w14:lumMod w14:val="65000"/>
            <w14:lumOff w14:val="35000"/>
          </w14:schemeClr>
        </w14:solidFill>
      </w14:textFill>
    </w:rPr>
  </w:style>
  <w:style w:type="character" w:customStyle="1" w:styleId="30">
    <w:name w:val="标题 9 字符"/>
    <w:basedOn w:val="21"/>
    <w:link w:val="11"/>
    <w:semiHidden/>
    <w:qFormat/>
    <w:uiPriority w:val="9"/>
    <w:rPr>
      <w:rFonts w:eastAsiaTheme="majorEastAsia" w:cstheme="majorBidi"/>
      <w:color w:val="595959" w:themeColor="text1" w:themeTint="A6"/>
      <w:sz w:val="24"/>
      <w:szCs w:val="24"/>
      <w14:textFill>
        <w14:solidFill>
          <w14:schemeClr w14:val="tx1">
            <w14:lumMod w14:val="65000"/>
            <w14:lumOff w14:val="35000"/>
          </w14:schemeClr>
        </w14:solidFill>
      </w14:textFill>
    </w:rPr>
  </w:style>
  <w:style w:type="character" w:customStyle="1" w:styleId="31">
    <w:name w:val="标题 字符"/>
    <w:basedOn w:val="21"/>
    <w:link w:val="19"/>
    <w:qFormat/>
    <w:uiPriority w:val="10"/>
    <w:rPr>
      <w:rFonts w:asciiTheme="majorHAnsi" w:hAnsiTheme="majorHAnsi" w:eastAsiaTheme="majorEastAsia" w:cstheme="majorBidi"/>
      <w:spacing w:val="-10"/>
      <w:kern w:val="28"/>
      <w:sz w:val="56"/>
      <w:szCs w:val="56"/>
    </w:rPr>
  </w:style>
  <w:style w:type="character" w:customStyle="1" w:styleId="32">
    <w:name w:val="副标题 字符"/>
    <w:basedOn w:val="21"/>
    <w:link w:val="18"/>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3">
    <w:name w:val="Quote"/>
    <w:basedOn w:val="1"/>
    <w:next w:val="1"/>
    <w:link w:val="34"/>
    <w:qFormat/>
    <w:uiPriority w:val="29"/>
    <w:pPr>
      <w:spacing w:before="160" w:after="160"/>
      <w:jc w:val="center"/>
    </w:pPr>
    <w:rPr>
      <w:rFonts w:ascii="Times New Roman" w:hAnsi="Times New Roman" w:eastAsia="仿宋_GB2312"/>
      <w:i/>
      <w:iCs/>
      <w:color w:val="404040" w:themeColor="text1" w:themeTint="BF"/>
      <w:sz w:val="24"/>
      <w14:textFill>
        <w14:solidFill>
          <w14:schemeClr w14:val="tx1">
            <w14:lumMod w14:val="75000"/>
            <w14:lumOff w14:val="25000"/>
          </w14:schemeClr>
        </w14:solidFill>
      </w14:textFill>
    </w:rPr>
  </w:style>
  <w:style w:type="character" w:customStyle="1" w:styleId="34">
    <w:name w:val="引用 字符"/>
    <w:basedOn w:val="21"/>
    <w:link w:val="33"/>
    <w:uiPriority w:val="29"/>
    <w:rPr>
      <w:rFonts w:ascii="Times New Roman" w:hAnsi="Times New Roman" w:eastAsia="仿宋_GB2312" w:cs="Times New Roman"/>
      <w:i/>
      <w:iCs/>
      <w:color w:val="404040" w:themeColor="text1" w:themeTint="BF"/>
      <w:sz w:val="24"/>
      <w:szCs w:val="24"/>
      <w14:textFill>
        <w14:solidFill>
          <w14:schemeClr w14:val="tx1">
            <w14:lumMod w14:val="75000"/>
            <w14:lumOff w14:val="25000"/>
          </w14:schemeClr>
        </w14:solidFill>
      </w14:textFill>
    </w:rPr>
  </w:style>
  <w:style w:type="paragraph" w:styleId="35">
    <w:name w:val="List Paragraph"/>
    <w:basedOn w:val="1"/>
    <w:qFormat/>
    <w:uiPriority w:val="34"/>
    <w:pPr>
      <w:ind w:left="720"/>
      <w:contextualSpacing/>
    </w:pPr>
    <w:rPr>
      <w:rFonts w:ascii="Times New Roman" w:hAnsi="Times New Roman" w:eastAsia="仿宋_GB2312"/>
      <w:sz w:val="24"/>
    </w:rPr>
  </w:style>
  <w:style w:type="character" w:customStyle="1" w:styleId="36">
    <w:name w:val="Intense Emphasis"/>
    <w:basedOn w:val="21"/>
    <w:qFormat/>
    <w:uiPriority w:val="21"/>
    <w:rPr>
      <w:i/>
      <w:iCs/>
      <w:color w:val="2F5597" w:themeColor="accent1" w:themeShade="BF"/>
    </w:rPr>
  </w:style>
  <w:style w:type="paragraph" w:styleId="37">
    <w:name w:val="Intense Quote"/>
    <w:basedOn w:val="1"/>
    <w:next w:val="1"/>
    <w:link w:val="38"/>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rFonts w:ascii="Times New Roman" w:hAnsi="Times New Roman" w:eastAsia="仿宋_GB2312"/>
      <w:i/>
      <w:iCs/>
      <w:color w:val="2F5597" w:themeColor="accent1" w:themeShade="BF"/>
      <w:sz w:val="24"/>
    </w:rPr>
  </w:style>
  <w:style w:type="character" w:customStyle="1" w:styleId="38">
    <w:name w:val="明显引用 字符"/>
    <w:basedOn w:val="21"/>
    <w:link w:val="37"/>
    <w:uiPriority w:val="30"/>
    <w:rPr>
      <w:rFonts w:ascii="Times New Roman" w:hAnsi="Times New Roman" w:eastAsia="仿宋_GB2312" w:cs="Times New Roman"/>
      <w:i/>
      <w:iCs/>
      <w:color w:val="2F5597" w:themeColor="accent1" w:themeShade="BF"/>
      <w:sz w:val="24"/>
      <w:szCs w:val="24"/>
    </w:rPr>
  </w:style>
  <w:style w:type="character" w:customStyle="1" w:styleId="39">
    <w:name w:val="Intense Reference"/>
    <w:basedOn w:val="21"/>
    <w:qFormat/>
    <w:uiPriority w:val="32"/>
    <w:rPr>
      <w:b/>
      <w:bCs/>
      <w:smallCaps/>
      <w:color w:val="2F5597" w:themeColor="accent1" w:themeShade="BF"/>
      <w:spacing w:val="5"/>
    </w:rPr>
  </w:style>
  <w:style w:type="character" w:customStyle="1" w:styleId="40">
    <w:name w:val="正文文本缩进 2 字符"/>
    <w:basedOn w:val="21"/>
    <w:link w:val="2"/>
    <w:uiPriority w:val="0"/>
    <w:rPr>
      <w:rFonts w:ascii="Calibri" w:hAnsi="Calibri" w:eastAsia="方正仿宋_GBK" w:cs="Times New Roman"/>
      <w:spacing w:val="6"/>
      <w:sz w:val="30"/>
    </w:rPr>
  </w:style>
  <w:style w:type="character" w:customStyle="1" w:styleId="41">
    <w:name w:val="正文文本 字符"/>
    <w:basedOn w:val="21"/>
    <w:link w:val="12"/>
    <w:semiHidden/>
    <w:uiPriority w:val="0"/>
    <w:rPr>
      <w:rFonts w:ascii="Arial" w:hAnsi="Arial" w:eastAsia="Arial" w:cs="Arial"/>
      <w:szCs w:val="21"/>
      <w:lang w:eastAsia="en-US"/>
    </w:rPr>
  </w:style>
  <w:style w:type="character" w:customStyle="1" w:styleId="42">
    <w:name w:val="正文文本缩进 字符"/>
    <w:basedOn w:val="21"/>
    <w:link w:val="14"/>
    <w:uiPriority w:val="0"/>
    <w:rPr>
      <w:rFonts w:ascii="Calibri" w:hAnsi="Calibri" w:eastAsia="仿宋_GB2312" w:cs="Times New Roman"/>
      <w:sz w:val="30"/>
      <w:szCs w:val="24"/>
    </w:rPr>
  </w:style>
  <w:style w:type="character" w:customStyle="1" w:styleId="43">
    <w:name w:val="页眉 字符"/>
    <w:basedOn w:val="21"/>
    <w:link w:val="17"/>
    <w:uiPriority w:val="99"/>
    <w:rPr>
      <w:rFonts w:ascii="Calibri" w:hAnsi="Calibri" w:eastAsia="宋体" w:cs="Times New Roman"/>
      <w:sz w:val="18"/>
      <w:szCs w:val="18"/>
    </w:rPr>
  </w:style>
  <w:style w:type="character" w:customStyle="1" w:styleId="44">
    <w:name w:val="页脚 字符"/>
    <w:basedOn w:val="21"/>
    <w:link w:val="16"/>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977</Words>
  <Characters>1073</Characters>
  <Lines>9</Lines>
  <Paragraphs>2</Paragraphs>
  <TotalTime>25</TotalTime>
  <ScaleCrop>false</ScaleCrop>
  <LinksUpToDate>false</LinksUpToDate>
  <CharactersWithSpaces>1084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2025-11-11T09:05:00Z</dcterms:created>
  <dc:creator>v</dc:creator>
  <cp:lastModifiedBy>～小太阳。</cp:lastModifiedBy>
  <dcterms:modified xsi:type="dcterms:W3CDTF">2025-12-24T03:57:53Z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eyJoZGlkIjoiN2JhZWQ5OTNmMDkxZjMwYjU4ZmUwNzc3NTdiZGUwY2IiLCJ1c2VySWQiOiIxMDc2NTE4NzkzIn0=</vt:lpwstr>
  </property>
  <property fmtid="{D5CDD505-2E9C-101B-9397-08002B2CF9AE}" pid="3" name="KSOProductBuildVer">
    <vt:lpwstr>2052-12.1.0.24034</vt:lpwstr>
  </property>
  <property fmtid="{D5CDD505-2E9C-101B-9397-08002B2CF9AE}" pid="4" name="ICV">
    <vt:lpwstr>CAC35462647345ACB0349E1D37E5B301_12</vt:lpwstr>
  </property>
</Properties>
</file>