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210CDA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0"/>
        <w:rPr>
          <w:rFonts w:ascii="Times New Roman" w:hAnsi="Times New Roman" w:eastAsia="方正小标宋_GBK" w:cs="Times New Roman"/>
          <w:color w:val="000000"/>
          <w:sz w:val="44"/>
          <w:lang w:eastAsia="zh-CN"/>
        </w:rPr>
      </w:pPr>
      <w:bookmarkStart w:id="0" w:name="_Toc178124550_WPSOffice_Level1"/>
      <w:bookmarkStart w:id="1" w:name="_Toc678217306_WPSOffice_Level1"/>
      <w:bookmarkStart w:id="2" w:name="_Toc2123423747_WPSOffice_Level1"/>
      <w:bookmarkStart w:id="3" w:name="_Toc1670908148_WPSOffice_Level1"/>
    </w:p>
    <w:p w14:paraId="58464964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ascii="Times New Roman" w:hAnsi="Times New Roman" w:eastAsia="方正小标宋_GBK" w:cs="Times New Roman"/>
          <w:color w:val="000000"/>
          <w:sz w:val="44"/>
          <w:lang w:eastAsia="zh-CN"/>
        </w:rPr>
      </w:pPr>
    </w:p>
    <w:p w14:paraId="3F5125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ascii="Times New Roman" w:hAnsi="Times New Roman" w:eastAsia="方正小标宋_GBK" w:cs="Times New Roman"/>
          <w:color w:val="000000"/>
          <w:sz w:val="44"/>
          <w:lang w:eastAsia="zh-CN"/>
        </w:rPr>
      </w:pPr>
    </w:p>
    <w:p w14:paraId="7D761CF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lang w:eastAsia="zh-CN"/>
        </w:rPr>
      </w:pPr>
    </w:p>
    <w:p w14:paraId="0F9F64A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ascii="Times New Roman" w:hAnsi="Times New Roman" w:eastAsia="方正小标宋_GBK" w:cs="Times New Roman"/>
          <w:color w:val="000000"/>
          <w:sz w:val="44"/>
          <w:lang w:eastAsia="zh-CN"/>
        </w:rPr>
      </w:pPr>
    </w:p>
    <w:p w14:paraId="50C7F6D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ascii="Times New Roman" w:hAnsi="Times New Roman" w:eastAsia="方正小标宋_GBK" w:cs="Times New Roman"/>
          <w:color w:val="000000"/>
          <w:sz w:val="44"/>
          <w:lang w:eastAsia="zh-CN"/>
        </w:rPr>
      </w:pPr>
    </w:p>
    <w:p w14:paraId="27A09443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0"/>
      </w:pPr>
    </w:p>
    <w:p w14:paraId="4EC6D649">
      <w:pPr>
        <w:spacing w:line="600" w:lineRule="exact"/>
        <w:jc w:val="center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常财审</w:t>
      </w:r>
      <w:r>
        <w:rPr>
          <w:rFonts w:hint="eastAsia" w:ascii="仿宋_GB2312" w:hAnsi="仿宋_GB2312" w:eastAsia="仿宋_GB2312"/>
          <w:sz w:val="32"/>
        </w:rPr>
        <w:t>〔2025〕预</w:t>
      </w:r>
      <w:r>
        <w:rPr>
          <w:rFonts w:hint="eastAsia" w:ascii="仿宋_GB2312" w:eastAsia="仿宋_GB2312"/>
          <w:sz w:val="32"/>
        </w:rPr>
        <w:t>字</w:t>
      </w:r>
      <w:r>
        <w:rPr>
          <w:rFonts w:hint="eastAsia" w:ascii="仿宋_GB2312" w:eastAsia="仿宋_GB2312"/>
          <w:sz w:val="32"/>
          <w:lang w:val="en-US" w:eastAsia="zh-CN"/>
        </w:rPr>
        <w:t>92</w:t>
      </w:r>
      <w:r>
        <w:rPr>
          <w:rFonts w:hint="eastAsia" w:ascii="仿宋_GB2312" w:eastAsia="仿宋_GB2312"/>
          <w:sz w:val="32"/>
        </w:rPr>
        <w:t>号</w:t>
      </w:r>
    </w:p>
    <w:p w14:paraId="27ED1EE4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ascii="Times New Roman" w:hAnsi="Times New Roman" w:eastAsia="方正小标宋_GBK" w:cs="Times New Roman"/>
          <w:color w:val="000000"/>
          <w:sz w:val="44"/>
          <w:lang w:eastAsia="zh-CN"/>
        </w:rPr>
      </w:pPr>
    </w:p>
    <w:p w14:paraId="5BEFF15D">
      <w:pPr>
        <w:pStyle w:val="12"/>
        <w:spacing w:line="600" w:lineRule="exact"/>
        <w:jc w:val="center"/>
        <w:outlineLvl w:val="0"/>
        <w:rPr>
          <w:rFonts w:hint="eastAsia" w:ascii="宋体" w:hAnsi="宋体" w:eastAsia="宋体" w:cs="宋体"/>
          <w:color w:val="000000"/>
          <w:sz w:val="44"/>
          <w:lang w:eastAsia="zh-CN"/>
        </w:rPr>
      </w:pPr>
      <w:r>
        <w:rPr>
          <w:rFonts w:hint="eastAsia" w:ascii="宋体" w:hAnsi="宋体" w:eastAsia="宋体" w:cs="宋体"/>
          <w:color w:val="000000"/>
          <w:sz w:val="44"/>
          <w:lang w:eastAsia="zh-CN"/>
        </w:rPr>
        <w:t>关于屈原公园水体整治工程</w:t>
      </w:r>
    </w:p>
    <w:p w14:paraId="352A6C43">
      <w:pPr>
        <w:pStyle w:val="12"/>
        <w:spacing w:line="600" w:lineRule="exact"/>
        <w:jc w:val="center"/>
        <w:outlineLvl w:val="0"/>
        <w:rPr>
          <w:rFonts w:hint="eastAsia" w:ascii="宋体" w:hAnsi="宋体" w:eastAsia="宋体" w:cs="宋体"/>
          <w:color w:val="000000"/>
          <w:sz w:val="44"/>
          <w:lang w:eastAsia="zh-CN"/>
        </w:rPr>
      </w:pPr>
      <w:r>
        <w:rPr>
          <w:rFonts w:hint="eastAsia" w:ascii="宋体" w:hAnsi="宋体" w:eastAsia="宋体" w:cs="宋体"/>
          <w:color w:val="000000"/>
          <w:sz w:val="44"/>
          <w:lang w:eastAsia="zh-CN"/>
        </w:rPr>
        <w:t>预算执行的</w:t>
      </w:r>
      <w:bookmarkEnd w:id="0"/>
      <w:bookmarkEnd w:id="1"/>
      <w:bookmarkEnd w:id="2"/>
      <w:bookmarkEnd w:id="3"/>
      <w:r>
        <w:rPr>
          <w:rFonts w:hint="eastAsia" w:ascii="宋体" w:hAnsi="宋体" w:eastAsia="宋体" w:cs="宋体"/>
          <w:color w:val="000000"/>
          <w:sz w:val="44"/>
          <w:lang w:eastAsia="zh-CN"/>
        </w:rPr>
        <w:t>评审报告</w:t>
      </w:r>
      <w:bookmarkStart w:id="37" w:name="_GoBack"/>
      <w:bookmarkEnd w:id="37"/>
    </w:p>
    <w:p w14:paraId="37880DBF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</w:p>
    <w:p w14:paraId="79843632">
      <w:pPr>
        <w:overflowPunct w:val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常德市财政局经济建设科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</w:p>
    <w:p w14:paraId="602005E3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屈原公园水体整治工程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》相关资料收悉，按照客观、公正、科学的评审原则，我中心组织对该项目开展预算执行评审，具体情况如下：</w:t>
      </w:r>
    </w:p>
    <w:p w14:paraId="478EBAB1">
      <w:pPr>
        <w:pStyle w:val="14"/>
        <w:keepNext w:val="0"/>
        <w:keepLines w:val="0"/>
        <w:pageBreakBefore w:val="0"/>
        <w:widowControl w:val="0"/>
        <w:tabs>
          <w:tab w:val="left" w:pos="6266"/>
        </w:tabs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bookmarkStart w:id="4" w:name="_Toc891472834_WPSOffice_Level1"/>
      <w:bookmarkStart w:id="5" w:name="_Toc1862220243_WPSOffice_Level1"/>
      <w:bookmarkStart w:id="6" w:name="_Toc445877422_WPSOffice_Level1"/>
      <w:bookmarkStart w:id="7" w:name="_Toc215626143_WPSOffice_Level1"/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一、项目概况</w:t>
      </w:r>
      <w:bookmarkEnd w:id="4"/>
      <w:bookmarkEnd w:id="5"/>
      <w:bookmarkEnd w:id="6"/>
      <w:bookmarkEnd w:id="7"/>
    </w:p>
    <w:p w14:paraId="499D015A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textAlignment w:val="auto"/>
        <w:outlineLvl w:val="1"/>
        <w:rPr>
          <w:rFonts w:ascii="Times New Roman" w:hAnsi="Times New Roman" w:eastAsia="楷体_GB2312"/>
          <w:b/>
          <w:bCs/>
          <w:sz w:val="32"/>
          <w:szCs w:val="32"/>
        </w:rPr>
      </w:pPr>
      <w:bookmarkStart w:id="8" w:name="_Toc90632560_WPSOffice_Level2"/>
      <w:bookmarkStart w:id="9" w:name="_Toc1067922961_WPSOffice_Level2"/>
      <w:bookmarkStart w:id="10" w:name="_Toc472741964_WPSOffice_Level2"/>
      <w:bookmarkStart w:id="11" w:name="_Toc222933592_WPSOffice_Level2"/>
      <w:r>
        <w:rPr>
          <w:rFonts w:ascii="Times New Roman" w:hAnsi="Times New Roman" w:eastAsia="楷体_GB2312"/>
          <w:b/>
          <w:bCs/>
          <w:sz w:val="32"/>
          <w:szCs w:val="32"/>
        </w:rPr>
        <w:t>（一）项目基本情况</w:t>
      </w:r>
      <w:bookmarkEnd w:id="8"/>
      <w:bookmarkEnd w:id="9"/>
      <w:bookmarkEnd w:id="10"/>
      <w:bookmarkEnd w:id="11"/>
    </w:p>
    <w:p w14:paraId="2749A680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项目根据市领导签批的《常德市城市管理和综合执法局&lt;关于2025年度园林绿化专项资金项目细化的请示&gt;》（常城管〔2025〕19号）立项，属于2025年部门预算安排的园林绿化提质改造专项资金内容之一。</w:t>
      </w:r>
    </w:p>
    <w:p w14:paraId="4F8536F2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textAlignment w:val="auto"/>
        <w:outlineLvl w:val="1"/>
        <w:rPr>
          <w:rFonts w:ascii="Times New Roman" w:hAnsi="Times New Roman" w:eastAsia="楷体_GB2312"/>
          <w:b/>
          <w:bCs/>
          <w:sz w:val="32"/>
          <w:szCs w:val="32"/>
        </w:rPr>
      </w:pPr>
      <w:bookmarkStart w:id="12" w:name="_Toc1446308865_WPSOffice_Level2"/>
      <w:bookmarkStart w:id="13" w:name="_Toc1094448419_WPSOffice_Level2"/>
      <w:bookmarkStart w:id="14" w:name="_Toc830963703_WPSOffice_Level2"/>
      <w:bookmarkStart w:id="15" w:name="_Toc1069041809_WPSOffice_Level2"/>
      <w:r>
        <w:rPr>
          <w:rFonts w:ascii="Times New Roman" w:hAnsi="Times New Roman" w:eastAsia="楷体_GB2312"/>
          <w:b/>
          <w:bCs/>
          <w:sz w:val="32"/>
          <w:szCs w:val="32"/>
        </w:rPr>
        <w:t>（二）项目主要内容及申报预算情况</w:t>
      </w:r>
      <w:bookmarkEnd w:id="12"/>
      <w:bookmarkEnd w:id="13"/>
      <w:bookmarkEnd w:id="14"/>
      <w:bookmarkEnd w:id="15"/>
    </w:p>
    <w:p w14:paraId="0E35B847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因水体水质污染严重，常德市园林绿化服务中心申报对屈原公园水体进行修复。工作内容包含杉木桩护驳岸、种植水生植物共计5599 m</w:t>
      </w:r>
      <w:r>
        <w:rPr>
          <w:rFonts w:hint="eastAsia" w:eastAsia="仿宋_GB2312" w:cs="Calibri"/>
          <w:color w:val="000000"/>
          <w:sz w:val="32"/>
          <w:szCs w:val="32"/>
        </w:rPr>
        <w:t>²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、栽植水杉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117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株。估算资金约55万元。</w:t>
      </w:r>
    </w:p>
    <w:p w14:paraId="56ED41FE">
      <w:pPr>
        <w:pStyle w:val="14"/>
        <w:keepNext w:val="0"/>
        <w:keepLines w:val="0"/>
        <w:pageBreakBefore w:val="0"/>
        <w:widowControl w:val="0"/>
        <w:tabs>
          <w:tab w:val="left" w:pos="6266"/>
        </w:tabs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bookmarkStart w:id="16" w:name="_Toc1890145904_WPSOffice_Level1"/>
      <w:bookmarkStart w:id="17" w:name="_Toc182692291_WPSOffice_Level1"/>
      <w:bookmarkStart w:id="18" w:name="_Toc976241670_WPSOffice_Level1"/>
      <w:bookmarkStart w:id="19" w:name="_Toc581615128_WPSOffice_Level1"/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二、评审依据</w:t>
      </w:r>
      <w:bookmarkEnd w:id="16"/>
      <w:bookmarkEnd w:id="17"/>
      <w:bookmarkEnd w:id="18"/>
      <w:bookmarkEnd w:id="19"/>
    </w:p>
    <w:p w14:paraId="67099E57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《中华人民共和国预算法》《中华人民共和国预算法实施条例》</w:t>
      </w:r>
      <w:r>
        <w:rPr>
          <w:rFonts w:hint="eastAsia" w:ascii="仿宋_GB2312" w:hAnsi="仿宋_GB2312" w:cs="仿宋_GB2312"/>
          <w:bCs/>
          <w:sz w:val="32"/>
          <w:szCs w:val="32"/>
        </w:rPr>
        <w:t>等法律法规。</w:t>
      </w:r>
    </w:p>
    <w:p w14:paraId="016BF95F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湖南省住房和城乡建设厅《关于执行&lt;建设工程工程量清单计价标准&gt;及配套工程量计算标准的通知》（湘建科函〔</w:t>
      </w:r>
      <w:r>
        <w:rPr>
          <w:rFonts w:ascii="仿宋_GB2312" w:hAnsi="仿宋_GB2312" w:cs="仿宋_GB2312"/>
          <w:sz w:val="32"/>
          <w:szCs w:val="32"/>
        </w:rPr>
        <w:t>2025</w:t>
      </w:r>
      <w:r>
        <w:rPr>
          <w:rFonts w:hint="eastAsia" w:ascii="仿宋_GB2312" w:hAnsi="仿宋_GB2312" w:cs="仿宋_GB2312"/>
          <w:sz w:val="32"/>
          <w:szCs w:val="32"/>
        </w:rPr>
        <w:t>〕</w:t>
      </w:r>
      <w:r>
        <w:rPr>
          <w:rFonts w:ascii="仿宋_GB2312" w:hAnsi="仿宋_GB2312" w:cs="仿宋_GB2312"/>
          <w:sz w:val="32"/>
          <w:szCs w:val="32"/>
        </w:rPr>
        <w:t>15</w:t>
      </w:r>
      <w:r>
        <w:rPr>
          <w:rFonts w:hint="eastAsia" w:ascii="仿宋_GB2312" w:hAnsi="仿宋_GB2312" w:cs="仿宋_GB2312"/>
          <w:sz w:val="32"/>
          <w:szCs w:val="32"/>
        </w:rPr>
        <w:t>0号）。</w:t>
      </w:r>
    </w:p>
    <w:p w14:paraId="770C4D1D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湖南省住房和城乡建设厅《关于发布</w:t>
      </w:r>
      <w:r>
        <w:rPr>
          <w:rFonts w:ascii="仿宋_GB2312" w:hAnsi="仿宋_GB2312" w:cs="仿宋_GB2312"/>
          <w:sz w:val="32"/>
          <w:szCs w:val="32"/>
        </w:rPr>
        <w:t>2025</w:t>
      </w:r>
      <w:r>
        <w:rPr>
          <w:rFonts w:hint="eastAsia" w:ascii="仿宋_GB2312" w:hAnsi="仿宋_GB2312" w:cs="仿宋_GB2312"/>
          <w:sz w:val="32"/>
          <w:szCs w:val="32"/>
        </w:rPr>
        <w:t>&lt;湖南省建设工程消耗量标准&gt;的通知》（湘建科函〔</w:t>
      </w:r>
      <w:r>
        <w:rPr>
          <w:rFonts w:ascii="仿宋_GB2312" w:hAnsi="仿宋_GB2312" w:cs="仿宋_GB2312"/>
          <w:sz w:val="32"/>
          <w:szCs w:val="32"/>
        </w:rPr>
        <w:t>2025</w:t>
      </w:r>
      <w:r>
        <w:rPr>
          <w:rFonts w:hint="eastAsia" w:ascii="仿宋_GB2312" w:hAnsi="仿宋_GB2312" w:cs="仿宋_GB2312"/>
          <w:sz w:val="32"/>
          <w:szCs w:val="32"/>
        </w:rPr>
        <w:t>〕</w:t>
      </w:r>
      <w:r>
        <w:rPr>
          <w:rFonts w:ascii="仿宋_GB2312" w:hAnsi="仿宋_GB2312" w:cs="仿宋_GB2312"/>
          <w:sz w:val="32"/>
          <w:szCs w:val="32"/>
        </w:rPr>
        <w:t>151</w:t>
      </w:r>
      <w:r>
        <w:rPr>
          <w:rFonts w:hint="eastAsia" w:ascii="仿宋_GB2312" w:hAnsi="仿宋_GB2312" w:cs="仿宋_GB2312"/>
          <w:sz w:val="32"/>
          <w:szCs w:val="32"/>
        </w:rPr>
        <w:t>号）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。</w:t>
      </w:r>
    </w:p>
    <w:p w14:paraId="2DF745C0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常德市城市管理和综合执法局《关于2025年度园林绿化专项资金项目细化的请示》（常城管〔2025〕19号）。</w:t>
      </w:r>
    </w:p>
    <w:p w14:paraId="023BA61A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1"/>
        <w:rPr>
          <w:rFonts w:hint="eastAsia" w:ascii="仿宋_GB2312" w:hAnsi="仿宋_GB2312" w:cs="仿宋_GB2312"/>
          <w:sz w:val="32"/>
          <w:szCs w:val="32"/>
        </w:rPr>
      </w:pPr>
      <w:bookmarkStart w:id="20" w:name="_Toc479871566_WPSOffice_Level2"/>
      <w:bookmarkStart w:id="21" w:name="_Toc333544456_WPSOffice_Level2"/>
      <w:bookmarkStart w:id="22" w:name="_Toc450291478_WPSOffice_Level2"/>
      <w:bookmarkStart w:id="23" w:name="_Toc680724078_WPSOffice_Level2"/>
      <w:r>
        <w:rPr>
          <w:rFonts w:hint="eastAsia" w:ascii="仿宋_GB2312" w:hAnsi="仿宋_GB2312" w:cs="仿宋_GB2312"/>
          <w:sz w:val="32"/>
          <w:szCs w:val="32"/>
        </w:rPr>
        <w:t>常德市建设工程造价管理站《关于公布常德市二○二五年第十一期建设工程材料市场综合价的通知》（</w:t>
      </w:r>
      <w:r>
        <w:rPr>
          <w:rFonts w:hint="eastAsia" w:ascii="仿宋_GB2312"/>
          <w:sz w:val="32"/>
          <w:szCs w:val="32"/>
        </w:rPr>
        <w:t>常建价〔2025〕15号</w:t>
      </w:r>
      <w:r>
        <w:rPr>
          <w:rFonts w:hint="eastAsia" w:ascii="仿宋_GB2312" w:hAnsi="仿宋_GB2312" w:cs="仿宋_GB2312"/>
          <w:sz w:val="32"/>
          <w:szCs w:val="32"/>
        </w:rPr>
        <w:t>）及市场价格。</w:t>
      </w:r>
      <w:bookmarkEnd w:id="20"/>
      <w:bookmarkEnd w:id="21"/>
      <w:bookmarkEnd w:id="22"/>
      <w:bookmarkEnd w:id="23"/>
    </w:p>
    <w:p w14:paraId="455FF4A2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2"/>
        <w:rPr>
          <w:rFonts w:hint="eastAsia" w:ascii="仿宋_GB2312" w:hAnsi="仿宋_GB2312" w:cs="仿宋_GB2312"/>
          <w:sz w:val="32"/>
          <w:szCs w:val="32"/>
        </w:rPr>
      </w:pPr>
      <w:bookmarkStart w:id="24" w:name="_Toc863367060_WPSOffice_Level3"/>
      <w:r>
        <w:rPr>
          <w:rFonts w:hint="eastAsia" w:ascii="仿宋_GB2312" w:hAnsi="仿宋_GB2312" w:cs="仿宋_GB2312"/>
          <w:sz w:val="32"/>
          <w:szCs w:val="32"/>
        </w:rPr>
        <w:t>其他有关资料。</w:t>
      </w:r>
      <w:bookmarkEnd w:id="24"/>
    </w:p>
    <w:p w14:paraId="0D38C5BF">
      <w:pPr>
        <w:pStyle w:val="14"/>
        <w:keepNext w:val="0"/>
        <w:keepLines w:val="0"/>
        <w:pageBreakBefore w:val="0"/>
        <w:widowControl w:val="0"/>
        <w:tabs>
          <w:tab w:val="left" w:pos="6266"/>
        </w:tabs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hint="eastAsia" w:ascii="黑体" w:hAnsi="黑体" w:eastAsia="黑体" w:cs="黑体"/>
          <w:color w:val="000000"/>
          <w:sz w:val="32"/>
          <w:szCs w:val="32"/>
        </w:rPr>
      </w:pPr>
      <w:bookmarkStart w:id="25" w:name="_Toc757239869_WPSOffice_Level1"/>
      <w:bookmarkStart w:id="26" w:name="_Toc913869554_WPSOffice_Level1"/>
      <w:bookmarkStart w:id="27" w:name="_Toc1699738589_WPSOffice_Level1"/>
      <w:bookmarkStart w:id="28" w:name="_Toc1890271026_WPSOffice_Level1"/>
      <w:r>
        <w:rPr>
          <w:rFonts w:hint="eastAsia" w:ascii="黑体" w:hAnsi="黑体" w:eastAsia="黑体" w:cs="黑体"/>
          <w:color w:val="000000"/>
          <w:sz w:val="32"/>
          <w:szCs w:val="32"/>
        </w:rPr>
        <w:t>三、评审结论</w:t>
      </w:r>
      <w:bookmarkEnd w:id="25"/>
      <w:bookmarkEnd w:id="26"/>
      <w:bookmarkEnd w:id="27"/>
      <w:bookmarkEnd w:id="28"/>
    </w:p>
    <w:p w14:paraId="5606E12A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该工程施工图预算送审金额为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526600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元，审定金额为</w:t>
      </w:r>
      <w:r>
        <w:rPr>
          <w:rFonts w:ascii="仿宋_GB2312" w:hAnsi="仿宋_GB2312" w:eastAsia="仿宋_GB2312" w:cs="仿宋_GB2312"/>
          <w:sz w:val="32"/>
          <w:szCs w:val="32"/>
        </w:rPr>
        <w:t>524462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元，审减金额为</w:t>
      </w:r>
      <w:r>
        <w:rPr>
          <w:rFonts w:ascii="仿宋_GB2312" w:hAnsi="仿宋_GB2312" w:eastAsia="仿宋_GB2312" w:cs="仿宋_GB2312"/>
          <w:sz w:val="32"/>
          <w:szCs w:val="32"/>
        </w:rPr>
        <w:t>2138</w:t>
      </w:r>
      <w:r>
        <w:rPr>
          <w:rFonts w:hint="eastAsia" w:ascii="仿宋_GB2312" w:hAnsi="仿宋_GB2312" w:eastAsia="仿宋_GB2312" w:cs="仿宋_GB2312"/>
          <w:sz w:val="32"/>
          <w:szCs w:val="32"/>
        </w:rPr>
        <w:t>元。其中：工程费审减</w:t>
      </w:r>
      <w:r>
        <w:rPr>
          <w:rFonts w:ascii="仿宋_GB2312" w:hAnsi="仿宋_GB2312" w:eastAsia="仿宋_GB2312" w:cs="仿宋_GB2312"/>
          <w:sz w:val="32"/>
          <w:szCs w:val="32"/>
        </w:rPr>
        <w:t>372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元，前期费审减</w:t>
      </w:r>
      <w:r>
        <w:rPr>
          <w:rFonts w:ascii="仿宋_GB2312" w:hAnsi="仿宋_GB2312" w:eastAsia="仿宋_GB2312" w:cs="仿宋_GB2312"/>
          <w:sz w:val="32"/>
          <w:szCs w:val="32"/>
        </w:rPr>
        <w:t>1747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元，不可预见费审减</w:t>
      </w:r>
      <w:r>
        <w:rPr>
          <w:rFonts w:ascii="仿宋_GB2312" w:hAnsi="仿宋_GB2312" w:eastAsia="仿宋_GB2312" w:cs="仿宋_GB2312"/>
          <w:sz w:val="32"/>
          <w:szCs w:val="32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元。审减主要原因如下：</w:t>
      </w:r>
    </w:p>
    <w:p w14:paraId="4873BA54">
      <w:pPr>
        <w:pStyle w:val="3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材料价格按最新信息价调整。</w:t>
      </w:r>
    </w:p>
    <w:p w14:paraId="1AC00F9F">
      <w:pPr>
        <w:pStyle w:val="3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监理费系数未计园林工程系数。</w:t>
      </w:r>
    </w:p>
    <w:p w14:paraId="5A88D34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hint="eastAsia" w:ascii="黑体" w:hAnsi="黑体" w:eastAsia="黑体" w:cs="黑体"/>
          <w:sz w:val="32"/>
          <w:szCs w:val="32"/>
        </w:rPr>
      </w:pPr>
      <w:bookmarkStart w:id="29" w:name="_Toc1954155083_WPSOffice_Level1"/>
      <w:bookmarkStart w:id="30" w:name="_Toc545252939_WPSOffice_Level1"/>
      <w:bookmarkStart w:id="31" w:name="_Toc308870453_WPSOffice_Level1"/>
      <w:bookmarkStart w:id="32" w:name="_Toc1156470918_WPSOffice_Level1"/>
      <w:r>
        <w:rPr>
          <w:rFonts w:hint="eastAsia" w:ascii="黑体" w:hAnsi="黑体" w:eastAsia="黑体" w:cs="黑体"/>
          <w:sz w:val="32"/>
          <w:szCs w:val="32"/>
        </w:rPr>
        <w:t>四、存在的问题及建议</w:t>
      </w:r>
      <w:bookmarkEnd w:id="29"/>
      <w:bookmarkEnd w:id="30"/>
      <w:bookmarkEnd w:id="31"/>
      <w:bookmarkEnd w:id="32"/>
    </w:p>
    <w:p w14:paraId="7C1109F9">
      <w:pPr>
        <w:pStyle w:val="35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该项目在2025年园林绿化提质改造专项资金细化表中申报内容为“水体清淤泥约2000m</w:t>
      </w:r>
      <w:r>
        <w:rPr>
          <w:rFonts w:ascii="Calibri" w:hAnsi="Calibri" w:cs="Calibri"/>
          <w:color w:val="000000"/>
          <w:sz w:val="32"/>
          <w:szCs w:val="32"/>
        </w:rPr>
        <w:t>³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，杉木桩护驳岸，种植水生植物约7000m</w:t>
      </w:r>
      <w:r>
        <w:rPr>
          <w:rFonts w:ascii="Calibri" w:hAnsi="Calibri" w:cs="Calibri"/>
          <w:color w:val="000000"/>
          <w:sz w:val="32"/>
          <w:szCs w:val="32"/>
        </w:rPr>
        <w:t>²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，水杉300株”对应估算资金55万元。实际送审预算方案实施水杉117株，水生植物约</w:t>
      </w:r>
      <w:r>
        <w:rPr>
          <w:rFonts w:ascii="仿宋_GB2312" w:hAnsi="仿宋_GB2312" w:cs="仿宋_GB2312"/>
          <w:color w:val="000000"/>
          <w:sz w:val="32"/>
          <w:szCs w:val="32"/>
        </w:rPr>
        <w:t>5599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m</w:t>
      </w:r>
      <w:r>
        <w:rPr>
          <w:rFonts w:ascii="Calibri" w:hAnsi="Calibri" w:cs="Calibri"/>
          <w:color w:val="000000"/>
          <w:sz w:val="32"/>
          <w:szCs w:val="32"/>
        </w:rPr>
        <w:t>²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，岸上马尼拉草587 m</w:t>
      </w:r>
      <w:r>
        <w:rPr>
          <w:rFonts w:ascii="Calibri" w:hAnsi="Calibri" w:cs="Calibri"/>
          <w:color w:val="000000"/>
          <w:sz w:val="32"/>
          <w:szCs w:val="32"/>
        </w:rPr>
        <w:t>²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。项目单位出具的《关于屈原公园水体整治项目施工工艺调整的情况说明》中“为确保项目尽快动工实施，我们对原设计方案进行了调整，具体为取消水底清淤（费用约6万元左右），增大水生植物栽植面积，通过设置人工浮岛，栽植多种类挺水植物（水生美人蕉、黄花鸢尾、再力花等），以达到净化改善水质，有效治理水域环境的目的。” 但实际送审方案的水生植物栽植面积缩小，且未实施人工浮岛。</w:t>
      </w:r>
    </w:p>
    <w:p w14:paraId="05CD3D76">
      <w:pPr>
        <w:pStyle w:val="35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以上情况经与资金管理科室确认，同意按送审施工图设计工程量、设计标准及批复投资额出具评审报告，且后续不再安排资金。</w:t>
      </w:r>
    </w:p>
    <w:p w14:paraId="666739B0">
      <w:pPr>
        <w:pStyle w:val="14"/>
        <w:keepNext w:val="0"/>
        <w:keepLines w:val="0"/>
        <w:pageBreakBefore w:val="0"/>
        <w:widowControl w:val="0"/>
        <w:tabs>
          <w:tab w:val="left" w:pos="6266"/>
        </w:tabs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hint="eastAsia" w:ascii="黑体" w:hAnsi="黑体" w:eastAsia="黑体" w:cs="黑体"/>
          <w:color w:val="000000"/>
          <w:sz w:val="32"/>
          <w:szCs w:val="32"/>
        </w:rPr>
      </w:pPr>
      <w:bookmarkStart w:id="33" w:name="_Toc669635750_WPSOffice_Level1"/>
      <w:bookmarkStart w:id="34" w:name="_Toc340961487_WPSOffice_Level1"/>
      <w:bookmarkStart w:id="35" w:name="_Toc1244274959_WPSOffice_Level1"/>
      <w:bookmarkStart w:id="36" w:name="_Toc391484743_WPSOffice_Level1"/>
      <w:r>
        <w:rPr>
          <w:rFonts w:hint="eastAsia" w:ascii="黑体" w:hAnsi="黑体" w:eastAsia="黑体" w:cs="黑体"/>
          <w:color w:val="000000"/>
          <w:sz w:val="32"/>
          <w:szCs w:val="32"/>
        </w:rPr>
        <w:t>五、有关事项说明</w:t>
      </w:r>
      <w:bookmarkEnd w:id="33"/>
      <w:bookmarkEnd w:id="34"/>
      <w:bookmarkEnd w:id="35"/>
      <w:bookmarkEnd w:id="36"/>
    </w:p>
    <w:p w14:paraId="5CE38595">
      <w:pPr>
        <w:pStyle w:val="35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本</w:t>
      </w:r>
      <w:r>
        <w:rPr>
          <w:rFonts w:hint="eastAsia"/>
          <w:sz w:val="32"/>
          <w:szCs w:val="32"/>
        </w:rPr>
        <w:t>评审结果是该项目财政预算控制上限，作为预算执行的重要依据，</w:t>
      </w:r>
      <w:r>
        <w:rPr>
          <w:rFonts w:hint="eastAsia" w:ascii="仿宋_GB2312" w:hAnsi="仿宋_GB2312" w:cs="仿宋_GB2312"/>
          <w:sz w:val="32"/>
          <w:szCs w:val="32"/>
        </w:rPr>
        <w:t>不作为招投标、政府采购、结算和决算的依据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。请</w:t>
      </w:r>
      <w:r>
        <w:rPr>
          <w:rFonts w:hint="eastAsia"/>
          <w:sz w:val="32"/>
          <w:szCs w:val="32"/>
        </w:rPr>
        <w:t>根据预算执行评审结果调整预算安排并指导相关部门严控预算执行，督促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项目单位严格遵守各项法律法规、财经纪律和财务管理制度。资金管理科室对预算评审类型和报告使用负责。</w:t>
      </w:r>
    </w:p>
    <w:p w14:paraId="72C10342">
      <w:pPr>
        <w:pStyle w:val="35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项目预算控制上限依据项目单位提供的设计图纸、施工方案，参照相关法律法规、行业规范标准及市场询价结果出具。若因送审资料完整性不足、准确性欠缺等情形导致的偏差，相关责任由项目单位自行承担。</w:t>
      </w:r>
    </w:p>
    <w:p w14:paraId="2B66E342"/>
    <w:p w14:paraId="25292D53"/>
    <w:p w14:paraId="37BC9488"/>
    <w:p w14:paraId="589AF4E7">
      <w:pPr>
        <w:overflowPunct w:val="0"/>
        <w:ind w:firstLine="640" w:firstLineChars="200"/>
        <w:jc w:val="righ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常德市财政局投资评审中心</w:t>
      </w:r>
    </w:p>
    <w:p w14:paraId="4BB23768">
      <w:pPr>
        <w:pStyle w:val="2"/>
        <w:wordWrap w:val="0"/>
        <w:spacing w:line="600" w:lineRule="exact"/>
        <w:ind w:left="4395" w:right="332" w:firstLine="141"/>
        <w:jc w:val="right"/>
        <w:rPr>
          <w:rFonts w:ascii="Times New Roman" w:hAnsi="Times New Roma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2025年12月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p w14:paraId="70350F92">
      <w:pPr>
        <w:jc w:val="left"/>
        <w:rPr>
          <w:rFonts w:ascii="仿宋_GB2312" w:eastAsia="仿宋_GB2312"/>
          <w:sz w:val="32"/>
          <w:szCs w:val="32"/>
        </w:rPr>
      </w:pPr>
    </w:p>
    <w:p w14:paraId="1B36FC73">
      <w:pPr>
        <w:jc w:val="left"/>
        <w:rPr>
          <w:rFonts w:ascii="仿宋_GB2312" w:eastAsia="仿宋_GB2312"/>
          <w:sz w:val="32"/>
          <w:szCs w:val="32"/>
        </w:rPr>
      </w:pPr>
    </w:p>
    <w:p w14:paraId="31CCCC18">
      <w:pPr>
        <w:jc w:val="left"/>
        <w:rPr>
          <w:rFonts w:ascii="仿宋_GB2312" w:eastAsia="仿宋_GB2312"/>
          <w:sz w:val="32"/>
          <w:szCs w:val="32"/>
        </w:rPr>
      </w:pPr>
    </w:p>
    <w:p w14:paraId="6F161776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 w14:paraId="20F9B298"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附表</w:t>
      </w:r>
    </w:p>
    <w:tbl>
      <w:tblPr>
        <w:tblStyle w:val="20"/>
        <w:tblW w:w="885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2020"/>
        <w:gridCol w:w="1465"/>
        <w:gridCol w:w="1465"/>
        <w:gridCol w:w="1265"/>
        <w:gridCol w:w="200"/>
        <w:gridCol w:w="1702"/>
        <w:gridCol w:w="12"/>
      </w:tblGrid>
      <w:tr w14:paraId="50BE73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780" w:hRule="atLeast"/>
          <w:jc w:val="center"/>
        </w:trPr>
        <w:tc>
          <w:tcPr>
            <w:tcW w:w="884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999CF3">
            <w:pPr>
              <w:pStyle w:val="12"/>
              <w:spacing w:line="600" w:lineRule="exact"/>
              <w:jc w:val="center"/>
              <w:outlineLvl w:val="0"/>
              <w:rPr>
                <w:rFonts w:hint="eastAsia" w:ascii="宋体" w:hAnsi="宋体" w:eastAsia="宋体" w:cs="宋体"/>
                <w:color w:val="000000"/>
                <w:sz w:val="4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44"/>
                <w:lang w:eastAsia="zh-CN"/>
              </w:rPr>
              <w:t>屈原公园水体整治工程</w:t>
            </w:r>
          </w:p>
          <w:p w14:paraId="4680A81E">
            <w:pPr>
              <w:pStyle w:val="12"/>
              <w:spacing w:line="600" w:lineRule="exact"/>
              <w:jc w:val="center"/>
              <w:outlineLvl w:val="0"/>
              <w:rPr>
                <w:rFonts w:ascii="宋体" w:hAnsi="宋体" w:cs="宋体"/>
                <w:kern w:val="0"/>
                <w:sz w:val="44"/>
                <w:szCs w:val="4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44"/>
                <w:lang w:eastAsia="zh-CN"/>
              </w:rPr>
              <w:t>预算执行评审汇总表</w:t>
            </w:r>
          </w:p>
        </w:tc>
      </w:tr>
      <w:tr w14:paraId="0CDC4B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exact"/>
          <w:jc w:val="center"/>
        </w:trPr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574C319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9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D582B"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金额单位：元</w:t>
            </w:r>
          </w:p>
        </w:tc>
      </w:tr>
      <w:tr w14:paraId="1CF191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4589D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C57AE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评审内容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09F27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送审金额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A7E90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审定金额</w:t>
            </w:r>
          </w:p>
        </w:tc>
        <w:tc>
          <w:tcPr>
            <w:tcW w:w="1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A32F3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审减金额</w:t>
            </w:r>
          </w:p>
        </w:tc>
        <w:tc>
          <w:tcPr>
            <w:tcW w:w="17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575F5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备  注</w:t>
            </w:r>
          </w:p>
        </w:tc>
      </w:tr>
      <w:tr w14:paraId="72BA71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02B2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一</w:t>
            </w:r>
          </w:p>
        </w:tc>
        <w:tc>
          <w:tcPr>
            <w:tcW w:w="2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59FB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工程费</w:t>
            </w:r>
          </w:p>
        </w:tc>
        <w:tc>
          <w:tcPr>
            <w:tcW w:w="1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ACE9D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475786</w:t>
            </w:r>
          </w:p>
        </w:tc>
        <w:tc>
          <w:tcPr>
            <w:tcW w:w="1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416C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475413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3AAE2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372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8E51E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4CB09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2731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二</w:t>
            </w:r>
          </w:p>
        </w:tc>
        <w:tc>
          <w:tcPr>
            <w:tcW w:w="2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6A0A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前期费</w:t>
            </w:r>
          </w:p>
        </w:tc>
        <w:tc>
          <w:tcPr>
            <w:tcW w:w="1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E42B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27025</w:t>
            </w:r>
          </w:p>
        </w:tc>
        <w:tc>
          <w:tcPr>
            <w:tcW w:w="1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35AA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25278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9742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1747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2A2B46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E9391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DC60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三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12806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不可预见费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D4363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23789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31F86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23771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12BE3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19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80C10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工程费的5%</w:t>
            </w:r>
          </w:p>
        </w:tc>
      </w:tr>
      <w:tr w14:paraId="67F897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5F8A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1A0A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合  计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CC2B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526600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A5D7B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524462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526CE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2138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82AA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0.41%</w:t>
            </w:r>
          </w:p>
        </w:tc>
      </w:tr>
    </w:tbl>
    <w:p w14:paraId="46B5160B"/>
    <w:sectPr>
      <w:pgSz w:w="11906" w:h="16838"/>
      <w:pgMar w:top="2154" w:right="1531" w:bottom="1440" w:left="1531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2232F0"/>
    <w:multiLevelType w:val="multilevel"/>
    <w:tmpl w:val="012232F0"/>
    <w:lvl w:ilvl="0" w:tentative="0">
      <w:start w:val="1"/>
      <w:numFmt w:val="decimal"/>
      <w:suff w:val="space"/>
      <w:lvlText w:val="%1."/>
      <w:lvlJc w:val="left"/>
      <w:pPr>
        <w:ind w:left="108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520" w:hanging="440"/>
      </w:pPr>
    </w:lvl>
    <w:lvl w:ilvl="2" w:tentative="0">
      <w:start w:val="1"/>
      <w:numFmt w:val="lowerRoman"/>
      <w:lvlText w:val="%3."/>
      <w:lvlJc w:val="right"/>
      <w:pPr>
        <w:ind w:left="1960" w:hanging="440"/>
      </w:pPr>
    </w:lvl>
    <w:lvl w:ilvl="3" w:tentative="0">
      <w:start w:val="1"/>
      <w:numFmt w:val="decimal"/>
      <w:lvlText w:val="%4."/>
      <w:lvlJc w:val="left"/>
      <w:pPr>
        <w:ind w:left="2400" w:hanging="440"/>
      </w:pPr>
    </w:lvl>
    <w:lvl w:ilvl="4" w:tentative="0">
      <w:start w:val="1"/>
      <w:numFmt w:val="lowerLetter"/>
      <w:lvlText w:val="%5)"/>
      <w:lvlJc w:val="left"/>
      <w:pPr>
        <w:ind w:left="2840" w:hanging="440"/>
      </w:pPr>
    </w:lvl>
    <w:lvl w:ilvl="5" w:tentative="0">
      <w:start w:val="1"/>
      <w:numFmt w:val="lowerRoman"/>
      <w:lvlText w:val="%6."/>
      <w:lvlJc w:val="right"/>
      <w:pPr>
        <w:ind w:left="3280" w:hanging="440"/>
      </w:pPr>
    </w:lvl>
    <w:lvl w:ilvl="6" w:tentative="0">
      <w:start w:val="1"/>
      <w:numFmt w:val="decimal"/>
      <w:lvlText w:val="%7."/>
      <w:lvlJc w:val="left"/>
      <w:pPr>
        <w:ind w:left="3720" w:hanging="440"/>
      </w:pPr>
    </w:lvl>
    <w:lvl w:ilvl="7" w:tentative="0">
      <w:start w:val="1"/>
      <w:numFmt w:val="lowerLetter"/>
      <w:lvlText w:val="%8)"/>
      <w:lvlJc w:val="left"/>
      <w:pPr>
        <w:ind w:left="4160" w:hanging="440"/>
      </w:pPr>
    </w:lvl>
    <w:lvl w:ilvl="8" w:tentative="0">
      <w:start w:val="1"/>
      <w:numFmt w:val="lowerRoman"/>
      <w:lvlText w:val="%9."/>
      <w:lvlJc w:val="right"/>
      <w:pPr>
        <w:ind w:left="4600" w:hanging="440"/>
      </w:pPr>
    </w:lvl>
  </w:abstractNum>
  <w:abstractNum w:abstractNumId="1">
    <w:nsid w:val="02FB757A"/>
    <w:multiLevelType w:val="multilevel"/>
    <w:tmpl w:val="02FB757A"/>
    <w:lvl w:ilvl="0" w:tentative="0">
      <w:start w:val="1"/>
      <w:numFmt w:val="decimal"/>
      <w:suff w:val="space"/>
      <w:lvlText w:val="%1."/>
      <w:lvlJc w:val="left"/>
      <w:pPr>
        <w:ind w:left="108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520" w:hanging="440"/>
      </w:pPr>
    </w:lvl>
    <w:lvl w:ilvl="2" w:tentative="0">
      <w:start w:val="1"/>
      <w:numFmt w:val="lowerRoman"/>
      <w:lvlText w:val="%3."/>
      <w:lvlJc w:val="right"/>
      <w:pPr>
        <w:ind w:left="1960" w:hanging="440"/>
      </w:pPr>
    </w:lvl>
    <w:lvl w:ilvl="3" w:tentative="0">
      <w:start w:val="1"/>
      <w:numFmt w:val="decimal"/>
      <w:lvlText w:val="%4."/>
      <w:lvlJc w:val="left"/>
      <w:pPr>
        <w:ind w:left="2400" w:hanging="440"/>
      </w:pPr>
    </w:lvl>
    <w:lvl w:ilvl="4" w:tentative="0">
      <w:start w:val="1"/>
      <w:numFmt w:val="lowerLetter"/>
      <w:lvlText w:val="%5)"/>
      <w:lvlJc w:val="left"/>
      <w:pPr>
        <w:ind w:left="2840" w:hanging="440"/>
      </w:pPr>
    </w:lvl>
    <w:lvl w:ilvl="5" w:tentative="0">
      <w:start w:val="1"/>
      <w:numFmt w:val="lowerRoman"/>
      <w:lvlText w:val="%6."/>
      <w:lvlJc w:val="right"/>
      <w:pPr>
        <w:ind w:left="3280" w:hanging="440"/>
      </w:pPr>
    </w:lvl>
    <w:lvl w:ilvl="6" w:tentative="0">
      <w:start w:val="1"/>
      <w:numFmt w:val="decimal"/>
      <w:lvlText w:val="%7."/>
      <w:lvlJc w:val="left"/>
      <w:pPr>
        <w:ind w:left="3720" w:hanging="440"/>
      </w:pPr>
    </w:lvl>
    <w:lvl w:ilvl="7" w:tentative="0">
      <w:start w:val="1"/>
      <w:numFmt w:val="lowerLetter"/>
      <w:lvlText w:val="%8)"/>
      <w:lvlJc w:val="left"/>
      <w:pPr>
        <w:ind w:left="4160" w:hanging="440"/>
      </w:pPr>
    </w:lvl>
    <w:lvl w:ilvl="8" w:tentative="0">
      <w:start w:val="1"/>
      <w:numFmt w:val="lowerRoman"/>
      <w:lvlText w:val="%9."/>
      <w:lvlJc w:val="right"/>
      <w:pPr>
        <w:ind w:left="4600" w:hanging="440"/>
      </w:pPr>
    </w:lvl>
  </w:abstractNum>
  <w:abstractNum w:abstractNumId="2">
    <w:nsid w:val="539D0078"/>
    <w:multiLevelType w:val="multilevel"/>
    <w:tmpl w:val="539D0078"/>
    <w:lvl w:ilvl="0" w:tentative="0">
      <w:start w:val="1"/>
      <w:numFmt w:val="decimal"/>
      <w:suff w:val="space"/>
      <w:lvlText w:val="%1."/>
      <w:lvlJc w:val="left"/>
      <w:pPr>
        <w:ind w:left="108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520" w:hanging="440"/>
      </w:pPr>
    </w:lvl>
    <w:lvl w:ilvl="2" w:tentative="0">
      <w:start w:val="1"/>
      <w:numFmt w:val="lowerRoman"/>
      <w:lvlText w:val="%3."/>
      <w:lvlJc w:val="right"/>
      <w:pPr>
        <w:ind w:left="1960" w:hanging="440"/>
      </w:pPr>
    </w:lvl>
    <w:lvl w:ilvl="3" w:tentative="0">
      <w:start w:val="1"/>
      <w:numFmt w:val="decimal"/>
      <w:lvlText w:val="%4."/>
      <w:lvlJc w:val="left"/>
      <w:pPr>
        <w:ind w:left="2400" w:hanging="440"/>
      </w:pPr>
    </w:lvl>
    <w:lvl w:ilvl="4" w:tentative="0">
      <w:start w:val="1"/>
      <w:numFmt w:val="lowerLetter"/>
      <w:lvlText w:val="%5)"/>
      <w:lvlJc w:val="left"/>
      <w:pPr>
        <w:ind w:left="2840" w:hanging="440"/>
      </w:pPr>
    </w:lvl>
    <w:lvl w:ilvl="5" w:tentative="0">
      <w:start w:val="1"/>
      <w:numFmt w:val="lowerRoman"/>
      <w:lvlText w:val="%6."/>
      <w:lvlJc w:val="right"/>
      <w:pPr>
        <w:ind w:left="3280" w:hanging="440"/>
      </w:pPr>
    </w:lvl>
    <w:lvl w:ilvl="6" w:tentative="0">
      <w:start w:val="1"/>
      <w:numFmt w:val="decimal"/>
      <w:lvlText w:val="%7."/>
      <w:lvlJc w:val="left"/>
      <w:pPr>
        <w:ind w:left="3720" w:hanging="440"/>
      </w:pPr>
    </w:lvl>
    <w:lvl w:ilvl="7" w:tentative="0">
      <w:start w:val="1"/>
      <w:numFmt w:val="lowerLetter"/>
      <w:lvlText w:val="%8)"/>
      <w:lvlJc w:val="left"/>
      <w:pPr>
        <w:ind w:left="4160" w:hanging="440"/>
      </w:pPr>
    </w:lvl>
    <w:lvl w:ilvl="8" w:tentative="0">
      <w:start w:val="1"/>
      <w:numFmt w:val="lowerRoman"/>
      <w:lvlText w:val="%9."/>
      <w:lvlJc w:val="right"/>
      <w:pPr>
        <w:ind w:left="4600" w:hanging="440"/>
      </w:pPr>
    </w:lvl>
  </w:abstractNum>
  <w:abstractNum w:abstractNumId="3">
    <w:nsid w:val="651C4261"/>
    <w:multiLevelType w:val="multilevel"/>
    <w:tmpl w:val="651C4261"/>
    <w:lvl w:ilvl="0" w:tentative="0">
      <w:start w:val="1"/>
      <w:numFmt w:val="decimal"/>
      <w:suff w:val="space"/>
      <w:lvlText w:val="%1."/>
      <w:lvlJc w:val="left"/>
      <w:pPr>
        <w:ind w:left="108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520" w:hanging="440"/>
      </w:pPr>
    </w:lvl>
    <w:lvl w:ilvl="2" w:tentative="0">
      <w:start w:val="1"/>
      <w:numFmt w:val="lowerRoman"/>
      <w:lvlText w:val="%3."/>
      <w:lvlJc w:val="right"/>
      <w:pPr>
        <w:ind w:left="1960" w:hanging="440"/>
      </w:pPr>
    </w:lvl>
    <w:lvl w:ilvl="3" w:tentative="0">
      <w:start w:val="1"/>
      <w:numFmt w:val="decimal"/>
      <w:lvlText w:val="%4."/>
      <w:lvlJc w:val="left"/>
      <w:pPr>
        <w:ind w:left="2400" w:hanging="440"/>
      </w:pPr>
    </w:lvl>
    <w:lvl w:ilvl="4" w:tentative="0">
      <w:start w:val="1"/>
      <w:numFmt w:val="lowerLetter"/>
      <w:lvlText w:val="%5)"/>
      <w:lvlJc w:val="left"/>
      <w:pPr>
        <w:ind w:left="2840" w:hanging="440"/>
      </w:pPr>
    </w:lvl>
    <w:lvl w:ilvl="5" w:tentative="0">
      <w:start w:val="1"/>
      <w:numFmt w:val="lowerRoman"/>
      <w:lvlText w:val="%6."/>
      <w:lvlJc w:val="right"/>
      <w:pPr>
        <w:ind w:left="3280" w:hanging="440"/>
      </w:pPr>
    </w:lvl>
    <w:lvl w:ilvl="6" w:tentative="0">
      <w:start w:val="1"/>
      <w:numFmt w:val="decimal"/>
      <w:lvlText w:val="%7."/>
      <w:lvlJc w:val="left"/>
      <w:pPr>
        <w:ind w:left="3720" w:hanging="440"/>
      </w:pPr>
    </w:lvl>
    <w:lvl w:ilvl="7" w:tentative="0">
      <w:start w:val="1"/>
      <w:numFmt w:val="lowerLetter"/>
      <w:lvlText w:val="%8)"/>
      <w:lvlJc w:val="left"/>
      <w:pPr>
        <w:ind w:left="4160" w:hanging="440"/>
      </w:pPr>
    </w:lvl>
    <w:lvl w:ilvl="8" w:tentative="0">
      <w:start w:val="1"/>
      <w:numFmt w:val="lowerRoman"/>
      <w:lvlText w:val="%9."/>
      <w:lvlJc w:val="right"/>
      <w:pPr>
        <w:ind w:left="4600" w:hanging="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C95"/>
    <w:rsid w:val="00000756"/>
    <w:rsid w:val="000637B0"/>
    <w:rsid w:val="00085B23"/>
    <w:rsid w:val="000C44C1"/>
    <w:rsid w:val="001215E9"/>
    <w:rsid w:val="00124BA6"/>
    <w:rsid w:val="00131FEF"/>
    <w:rsid w:val="001479F8"/>
    <w:rsid w:val="001B03EA"/>
    <w:rsid w:val="001D3584"/>
    <w:rsid w:val="002214CC"/>
    <w:rsid w:val="00224739"/>
    <w:rsid w:val="002550DA"/>
    <w:rsid w:val="0026065F"/>
    <w:rsid w:val="00293F9D"/>
    <w:rsid w:val="00297A0F"/>
    <w:rsid w:val="002A76CD"/>
    <w:rsid w:val="00304E74"/>
    <w:rsid w:val="0030666D"/>
    <w:rsid w:val="00342FA5"/>
    <w:rsid w:val="003459A7"/>
    <w:rsid w:val="00351C65"/>
    <w:rsid w:val="00355006"/>
    <w:rsid w:val="003723A6"/>
    <w:rsid w:val="003C1927"/>
    <w:rsid w:val="003D0A6A"/>
    <w:rsid w:val="003D0D65"/>
    <w:rsid w:val="0041748C"/>
    <w:rsid w:val="0043012E"/>
    <w:rsid w:val="00484DFC"/>
    <w:rsid w:val="004A70E5"/>
    <w:rsid w:val="004D08C3"/>
    <w:rsid w:val="004D30DC"/>
    <w:rsid w:val="004F2C97"/>
    <w:rsid w:val="00520938"/>
    <w:rsid w:val="00530125"/>
    <w:rsid w:val="00577167"/>
    <w:rsid w:val="00581145"/>
    <w:rsid w:val="00583A26"/>
    <w:rsid w:val="00597761"/>
    <w:rsid w:val="005C1516"/>
    <w:rsid w:val="005C1D44"/>
    <w:rsid w:val="005C25C6"/>
    <w:rsid w:val="005E03B0"/>
    <w:rsid w:val="006044F9"/>
    <w:rsid w:val="00617840"/>
    <w:rsid w:val="00626A58"/>
    <w:rsid w:val="006365E1"/>
    <w:rsid w:val="00643849"/>
    <w:rsid w:val="0065511E"/>
    <w:rsid w:val="006725B2"/>
    <w:rsid w:val="00682E0F"/>
    <w:rsid w:val="00684E64"/>
    <w:rsid w:val="006908F6"/>
    <w:rsid w:val="006936E2"/>
    <w:rsid w:val="006A27EB"/>
    <w:rsid w:val="006E1677"/>
    <w:rsid w:val="006F4ED8"/>
    <w:rsid w:val="007278C1"/>
    <w:rsid w:val="007674DA"/>
    <w:rsid w:val="00783187"/>
    <w:rsid w:val="00792B95"/>
    <w:rsid w:val="007977F1"/>
    <w:rsid w:val="007D5A6D"/>
    <w:rsid w:val="008207CC"/>
    <w:rsid w:val="008509FA"/>
    <w:rsid w:val="00856407"/>
    <w:rsid w:val="00885C95"/>
    <w:rsid w:val="008949B8"/>
    <w:rsid w:val="008B37BF"/>
    <w:rsid w:val="008C6E6E"/>
    <w:rsid w:val="008D0DDD"/>
    <w:rsid w:val="008D1F10"/>
    <w:rsid w:val="00934E3C"/>
    <w:rsid w:val="00960F82"/>
    <w:rsid w:val="00966580"/>
    <w:rsid w:val="009729BD"/>
    <w:rsid w:val="00973A33"/>
    <w:rsid w:val="00983433"/>
    <w:rsid w:val="00987E15"/>
    <w:rsid w:val="009A5363"/>
    <w:rsid w:val="009C522A"/>
    <w:rsid w:val="009D0076"/>
    <w:rsid w:val="009D294F"/>
    <w:rsid w:val="009D35E3"/>
    <w:rsid w:val="009E1678"/>
    <w:rsid w:val="009E3873"/>
    <w:rsid w:val="009E3E4E"/>
    <w:rsid w:val="00A062DD"/>
    <w:rsid w:val="00A20CF8"/>
    <w:rsid w:val="00A35B5E"/>
    <w:rsid w:val="00A37B2D"/>
    <w:rsid w:val="00A605B7"/>
    <w:rsid w:val="00A83634"/>
    <w:rsid w:val="00A93643"/>
    <w:rsid w:val="00AC0860"/>
    <w:rsid w:val="00AE318F"/>
    <w:rsid w:val="00B06C10"/>
    <w:rsid w:val="00B10D36"/>
    <w:rsid w:val="00B131C8"/>
    <w:rsid w:val="00B13E31"/>
    <w:rsid w:val="00B15CD2"/>
    <w:rsid w:val="00B1676F"/>
    <w:rsid w:val="00B20419"/>
    <w:rsid w:val="00B57111"/>
    <w:rsid w:val="00B87DE3"/>
    <w:rsid w:val="00B97A21"/>
    <w:rsid w:val="00BD0A19"/>
    <w:rsid w:val="00BD2724"/>
    <w:rsid w:val="00BE106C"/>
    <w:rsid w:val="00BE10EA"/>
    <w:rsid w:val="00BF1B1B"/>
    <w:rsid w:val="00C160E8"/>
    <w:rsid w:val="00C3151B"/>
    <w:rsid w:val="00C348DE"/>
    <w:rsid w:val="00C363A1"/>
    <w:rsid w:val="00C46AC7"/>
    <w:rsid w:val="00C46B2D"/>
    <w:rsid w:val="00C508F7"/>
    <w:rsid w:val="00C60121"/>
    <w:rsid w:val="00C810E0"/>
    <w:rsid w:val="00C879BE"/>
    <w:rsid w:val="00CB2A73"/>
    <w:rsid w:val="00CB61F2"/>
    <w:rsid w:val="00CC1F81"/>
    <w:rsid w:val="00D2023B"/>
    <w:rsid w:val="00D40239"/>
    <w:rsid w:val="00D45129"/>
    <w:rsid w:val="00D505AA"/>
    <w:rsid w:val="00D55755"/>
    <w:rsid w:val="00D62C9B"/>
    <w:rsid w:val="00D661AC"/>
    <w:rsid w:val="00D83731"/>
    <w:rsid w:val="00DA4780"/>
    <w:rsid w:val="00DB1BF1"/>
    <w:rsid w:val="00DC4F9D"/>
    <w:rsid w:val="00DC5B31"/>
    <w:rsid w:val="00DD1AAC"/>
    <w:rsid w:val="00DD2057"/>
    <w:rsid w:val="00DD3415"/>
    <w:rsid w:val="00DD50BB"/>
    <w:rsid w:val="00DE41FE"/>
    <w:rsid w:val="00E14D9A"/>
    <w:rsid w:val="00E254A1"/>
    <w:rsid w:val="00E25CB4"/>
    <w:rsid w:val="00E33FB4"/>
    <w:rsid w:val="00E55C78"/>
    <w:rsid w:val="00E823FE"/>
    <w:rsid w:val="00EA1D21"/>
    <w:rsid w:val="00ED1673"/>
    <w:rsid w:val="00EE7108"/>
    <w:rsid w:val="00EE7D44"/>
    <w:rsid w:val="00EF17C5"/>
    <w:rsid w:val="00F13746"/>
    <w:rsid w:val="00F4300B"/>
    <w:rsid w:val="00F67CB7"/>
    <w:rsid w:val="00F77A9B"/>
    <w:rsid w:val="00F85FF3"/>
    <w:rsid w:val="00FB53DA"/>
    <w:rsid w:val="00FB7426"/>
    <w:rsid w:val="00FD5986"/>
    <w:rsid w:val="00FE121F"/>
    <w:rsid w:val="00FE4C73"/>
    <w:rsid w:val="00FF2201"/>
    <w:rsid w:val="00FF49B4"/>
    <w:rsid w:val="7557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qFormat="1"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4">
    <w:name w:val="heading 2"/>
    <w:basedOn w:val="1"/>
    <w:next w:val="1"/>
    <w:link w:val="23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5">
    <w:name w:val="heading 3"/>
    <w:basedOn w:val="1"/>
    <w:next w:val="1"/>
    <w:link w:val="24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6">
    <w:name w:val="heading 4"/>
    <w:basedOn w:val="1"/>
    <w:next w:val="1"/>
    <w:link w:val="25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2F5597" w:themeColor="accent1" w:themeShade="BF"/>
      <w:sz w:val="28"/>
      <w:szCs w:val="28"/>
    </w:rPr>
  </w:style>
  <w:style w:type="paragraph" w:styleId="7">
    <w:name w:val="heading 5"/>
    <w:basedOn w:val="1"/>
    <w:next w:val="1"/>
    <w:link w:val="26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2F5597" w:themeColor="accent1" w:themeShade="BF"/>
      <w:sz w:val="24"/>
    </w:rPr>
  </w:style>
  <w:style w:type="paragraph" w:styleId="8">
    <w:name w:val="heading 6"/>
    <w:basedOn w:val="1"/>
    <w:next w:val="1"/>
    <w:link w:val="27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2F5597" w:themeColor="accent1" w:themeShade="BF"/>
      <w:sz w:val="24"/>
    </w:rPr>
  </w:style>
  <w:style w:type="paragraph" w:styleId="9">
    <w:name w:val="heading 7"/>
    <w:basedOn w:val="1"/>
    <w:next w:val="1"/>
    <w:link w:val="28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8"/>
    <w:basedOn w:val="1"/>
    <w:next w:val="1"/>
    <w:link w:val="29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1">
    <w:name w:val="heading 9"/>
    <w:basedOn w:val="1"/>
    <w:next w:val="1"/>
    <w:link w:val="30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40"/>
    <w:qFormat/>
    <w:uiPriority w:val="0"/>
    <w:pPr>
      <w:spacing w:line="588" w:lineRule="atLeast"/>
    </w:pPr>
    <w:rPr>
      <w:rFonts w:eastAsia="方正仿宋_GBK"/>
      <w:spacing w:val="6"/>
      <w:sz w:val="30"/>
      <w:szCs w:val="22"/>
    </w:rPr>
  </w:style>
  <w:style w:type="paragraph" w:styleId="12">
    <w:name w:val="Body Text"/>
    <w:basedOn w:val="1"/>
    <w:next w:val="13"/>
    <w:link w:val="4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13">
    <w:name w:val="toc 9"/>
    <w:basedOn w:val="1"/>
    <w:next w:val="1"/>
    <w:autoRedefine/>
    <w:semiHidden/>
    <w:unhideWhenUsed/>
    <w:qFormat/>
    <w:uiPriority w:val="39"/>
    <w:pPr>
      <w:ind w:left="3360" w:leftChars="1600"/>
    </w:pPr>
  </w:style>
  <w:style w:type="paragraph" w:styleId="14">
    <w:name w:val="Body Text Indent"/>
    <w:basedOn w:val="1"/>
    <w:next w:val="15"/>
    <w:link w:val="42"/>
    <w:qFormat/>
    <w:uiPriority w:val="0"/>
    <w:pPr>
      <w:ind w:firstLine="600" w:firstLineChars="200"/>
    </w:pPr>
    <w:rPr>
      <w:rFonts w:eastAsia="仿宋_GB2312"/>
      <w:sz w:val="30"/>
    </w:rPr>
  </w:style>
  <w:style w:type="paragraph" w:styleId="15">
    <w:name w:val="envelope return"/>
    <w:basedOn w:val="1"/>
    <w:semiHidden/>
    <w:unhideWhenUsed/>
    <w:qFormat/>
    <w:uiPriority w:val="99"/>
    <w:pPr>
      <w:snapToGrid w:val="0"/>
    </w:pPr>
    <w:rPr>
      <w:rFonts w:asciiTheme="majorHAnsi" w:hAnsiTheme="majorHAnsi" w:eastAsiaTheme="majorEastAsia" w:cstheme="majorBidi"/>
    </w:rPr>
  </w:style>
  <w:style w:type="paragraph" w:styleId="16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Subtitle"/>
    <w:basedOn w:val="1"/>
    <w:next w:val="1"/>
    <w:link w:val="32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9">
    <w:name w:val="Title"/>
    <w:basedOn w:val="1"/>
    <w:next w:val="1"/>
    <w:link w:val="31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2">
    <w:name w:val="标题 1 字符"/>
    <w:basedOn w:val="21"/>
    <w:link w:val="3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23">
    <w:name w:val="标题 2 字符"/>
    <w:basedOn w:val="21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4">
    <w:name w:val="标题 3 字符"/>
    <w:basedOn w:val="21"/>
    <w:link w:val="5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5">
    <w:name w:val="标题 4 字符"/>
    <w:basedOn w:val="21"/>
    <w:link w:val="6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6">
    <w:name w:val="标题 5 字符"/>
    <w:basedOn w:val="21"/>
    <w:link w:val="7"/>
    <w:semiHidden/>
    <w:qFormat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7">
    <w:name w:val="标题 6 字符"/>
    <w:basedOn w:val="21"/>
    <w:link w:val="8"/>
    <w:semiHidden/>
    <w:qFormat/>
    <w:uiPriority w:val="9"/>
    <w:rPr>
      <w:rFonts w:cstheme="majorBidi"/>
      <w:b/>
      <w:bCs/>
      <w:color w:val="2F5597" w:themeColor="accent1" w:themeShade="BF"/>
      <w:sz w:val="24"/>
      <w:szCs w:val="24"/>
    </w:rPr>
  </w:style>
  <w:style w:type="character" w:customStyle="1" w:styleId="28">
    <w:name w:val="标题 7 字符"/>
    <w:basedOn w:val="21"/>
    <w:link w:val="9"/>
    <w:semiHidden/>
    <w:qFormat/>
    <w:uiPriority w:val="9"/>
    <w:rPr>
      <w:rFonts w:cstheme="majorBidi"/>
      <w:b/>
      <w:bCs/>
      <w:color w:val="595959" w:themeColor="text1" w:themeTint="A6"/>
      <w:sz w:val="24"/>
      <w:szCs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8 字符"/>
    <w:basedOn w:val="21"/>
    <w:link w:val="10"/>
    <w:semiHidden/>
    <w:qFormat/>
    <w:uiPriority w:val="9"/>
    <w:rPr>
      <w:rFonts w:cstheme="majorBidi"/>
      <w:color w:val="595959" w:themeColor="text1" w:themeTint="A6"/>
      <w:sz w:val="24"/>
      <w:szCs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0">
    <w:name w:val="标题 9 字符"/>
    <w:basedOn w:val="21"/>
    <w:link w:val="11"/>
    <w:semiHidden/>
    <w:qFormat/>
    <w:uiPriority w:val="9"/>
    <w:rPr>
      <w:rFonts w:eastAsiaTheme="majorEastAsia" w:cstheme="majorBidi"/>
      <w:color w:val="595959" w:themeColor="text1" w:themeTint="A6"/>
      <w:sz w:val="24"/>
      <w:szCs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1">
    <w:name w:val="标题 字符"/>
    <w:basedOn w:val="21"/>
    <w:link w:val="19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2">
    <w:name w:val="副标题 字符"/>
    <w:basedOn w:val="21"/>
    <w:link w:val="18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3">
    <w:name w:val="Quote"/>
    <w:basedOn w:val="1"/>
    <w:next w:val="1"/>
    <w:link w:val="34"/>
    <w:qFormat/>
    <w:uiPriority w:val="29"/>
    <w:pPr>
      <w:spacing w:before="160" w:after="160"/>
      <w:jc w:val="center"/>
    </w:pPr>
    <w:rPr>
      <w:rFonts w:ascii="Times New Roman" w:hAnsi="Times New Roman" w:eastAsia="仿宋_GB2312"/>
      <w:i/>
      <w:iCs/>
      <w:color w:val="404040" w:themeColor="text1" w:themeTint="BF"/>
      <w:sz w:val="24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4">
    <w:name w:val="引用 字符"/>
    <w:basedOn w:val="21"/>
    <w:link w:val="33"/>
    <w:qFormat/>
    <w:uiPriority w:val="29"/>
    <w:rPr>
      <w:rFonts w:ascii="Times New Roman" w:hAnsi="Times New Roman" w:eastAsia="仿宋_GB2312" w:cs="Times New Roman"/>
      <w:i/>
      <w:iCs/>
      <w:color w:val="404040" w:themeColor="text1" w:themeTint="BF"/>
      <w:sz w:val="24"/>
      <w:szCs w:val="24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5">
    <w:name w:val="List Paragraph"/>
    <w:basedOn w:val="1"/>
    <w:qFormat/>
    <w:uiPriority w:val="34"/>
    <w:pPr>
      <w:ind w:left="720"/>
      <w:contextualSpacing/>
    </w:pPr>
    <w:rPr>
      <w:rFonts w:ascii="Times New Roman" w:hAnsi="Times New Roman" w:eastAsia="仿宋_GB2312"/>
      <w:sz w:val="24"/>
    </w:rPr>
  </w:style>
  <w:style w:type="character" w:customStyle="1" w:styleId="36">
    <w:name w:val="Intense Emphasis"/>
    <w:basedOn w:val="21"/>
    <w:qFormat/>
    <w:uiPriority w:val="21"/>
    <w:rPr>
      <w:i/>
      <w:iCs/>
      <w:color w:val="2F5597" w:themeColor="accent1" w:themeShade="BF"/>
    </w:rPr>
  </w:style>
  <w:style w:type="paragraph" w:styleId="37">
    <w:name w:val="Intense Quote"/>
    <w:basedOn w:val="1"/>
    <w:next w:val="1"/>
    <w:link w:val="38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rFonts w:ascii="Times New Roman" w:hAnsi="Times New Roman" w:eastAsia="仿宋_GB2312"/>
      <w:i/>
      <w:iCs/>
      <w:color w:val="2F5597" w:themeColor="accent1" w:themeShade="BF"/>
      <w:sz w:val="24"/>
    </w:rPr>
  </w:style>
  <w:style w:type="character" w:customStyle="1" w:styleId="38">
    <w:name w:val="明显引用 字符"/>
    <w:basedOn w:val="21"/>
    <w:link w:val="37"/>
    <w:qFormat/>
    <w:uiPriority w:val="30"/>
    <w:rPr>
      <w:rFonts w:ascii="Times New Roman" w:hAnsi="Times New Roman" w:eastAsia="仿宋_GB2312" w:cs="Times New Roman"/>
      <w:i/>
      <w:iCs/>
      <w:color w:val="2F5597" w:themeColor="accent1" w:themeShade="BF"/>
      <w:sz w:val="24"/>
      <w:szCs w:val="24"/>
    </w:rPr>
  </w:style>
  <w:style w:type="character" w:customStyle="1" w:styleId="39">
    <w:name w:val="Intense Reference"/>
    <w:basedOn w:val="21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40">
    <w:name w:val="正文文本缩进 2 字符"/>
    <w:basedOn w:val="21"/>
    <w:link w:val="2"/>
    <w:qFormat/>
    <w:uiPriority w:val="0"/>
    <w:rPr>
      <w:rFonts w:ascii="Calibri" w:hAnsi="Calibri" w:eastAsia="方正仿宋_GBK" w:cs="Times New Roman"/>
      <w:spacing w:val="6"/>
      <w:sz w:val="30"/>
    </w:rPr>
  </w:style>
  <w:style w:type="character" w:customStyle="1" w:styleId="41">
    <w:name w:val="正文文本 字符"/>
    <w:basedOn w:val="21"/>
    <w:link w:val="12"/>
    <w:semiHidden/>
    <w:qFormat/>
    <w:uiPriority w:val="0"/>
    <w:rPr>
      <w:rFonts w:ascii="Arial" w:hAnsi="Arial" w:eastAsia="Arial" w:cs="Arial"/>
      <w:szCs w:val="21"/>
      <w:lang w:eastAsia="en-US"/>
    </w:rPr>
  </w:style>
  <w:style w:type="character" w:customStyle="1" w:styleId="42">
    <w:name w:val="正文文本缩进 字符"/>
    <w:basedOn w:val="21"/>
    <w:link w:val="14"/>
    <w:qFormat/>
    <w:uiPriority w:val="0"/>
    <w:rPr>
      <w:rFonts w:ascii="Calibri" w:hAnsi="Calibri" w:eastAsia="仿宋_GB2312" w:cs="Times New Roman"/>
      <w:sz w:val="30"/>
      <w:szCs w:val="24"/>
    </w:rPr>
  </w:style>
  <w:style w:type="character" w:customStyle="1" w:styleId="43">
    <w:name w:val="页眉 字符"/>
    <w:basedOn w:val="21"/>
    <w:link w:val="1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4">
    <w:name w:val="页脚 字符"/>
    <w:basedOn w:val="21"/>
    <w:link w:val="16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1328</Words>
  <Characters>1473</Characters>
  <Lines>11</Lines>
  <Paragraphs>3</Paragraphs>
  <TotalTime>275</TotalTime>
  <ScaleCrop>false</ScaleCrop>
  <LinksUpToDate>false</LinksUpToDate>
  <CharactersWithSpaces>1482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2025-11-11T09:05:00Z</dcterms:created>
  <dc:creator>v</dc:creator>
  <cp:lastModifiedBy>～小太阳。</cp:lastModifiedBy>
  <cp:lastPrinted>2026-01-04T02:54:22Z</cp:lastPrinted>
  <dcterms:modified xsi:type="dcterms:W3CDTF">2026-01-04T03:00:13Z</dcterms:modified>
  <cp:revision>144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eyJoZGlkIjoiN2JhZWQ5OTNmMDkxZjMwYjU4ZmUwNzc3NTdiZGUwY2IiLCJ1c2VySWQiOiIxMDc2NTE4NzkzIn0=</vt:lpwstr>
  </property>
  <property fmtid="{D5CDD505-2E9C-101B-9397-08002B2CF9AE}" pid="3" name="KSOProductBuildVer">
    <vt:lpwstr>2052-12.1.0.24034</vt:lpwstr>
  </property>
  <property fmtid="{D5CDD505-2E9C-101B-9397-08002B2CF9AE}" pid="4" name="ICV">
    <vt:lpwstr>D7B2EF735FDF41D98F0D5AE25A3357DE_12</vt:lpwstr>
  </property>
</Properties>
</file>