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70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7338F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0876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794A9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1F8E9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7E68F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3AB67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  <w:szCs w:val="32"/>
        </w:rPr>
      </w:pPr>
    </w:p>
    <w:p w14:paraId="74520ED8">
      <w:pPr>
        <w:jc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常财审〔2026〕结字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</w:rPr>
        <w:t>号</w:t>
      </w:r>
    </w:p>
    <w:p w14:paraId="69AAA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宋体" w:hAnsi="宋体" w:cs="宋体"/>
          <w:spacing w:val="20"/>
          <w:sz w:val="44"/>
          <w:szCs w:val="44"/>
        </w:rPr>
      </w:pPr>
    </w:p>
    <w:p w14:paraId="4F3868DD">
      <w:pPr>
        <w:jc w:val="center"/>
        <w:rPr>
          <w:rFonts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</w:rPr>
        <w:t>关于</w:t>
      </w:r>
      <w:bookmarkStart w:id="0" w:name="OLE_LINK2"/>
      <w:bookmarkStart w:id="1" w:name="OLE_LINK1"/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</w:rPr>
        <w:t>泉水路（环湖路-丰沾路）</w:t>
      </w:r>
      <w:bookmarkEnd w:id="0"/>
      <w:bookmarkEnd w:id="1"/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</w:rPr>
        <w:t>新建工程服务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</w:rPr>
        <w:t>性前期费</w:t>
      </w:r>
      <w:r>
        <w:rPr>
          <w:rFonts w:hint="eastAsia" w:asciiTheme="majorEastAsia" w:hAnsiTheme="majorEastAsia" w:eastAsiaTheme="majorEastAsia" w:cstheme="majorEastAsia"/>
          <w:sz w:val="44"/>
          <w:szCs w:val="44"/>
        </w:rPr>
        <w:t>的评审意见</w:t>
      </w:r>
    </w:p>
    <w:p w14:paraId="374E8C35">
      <w:pPr>
        <w:spacing w:line="56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</w:p>
    <w:p w14:paraId="5DCD32F5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常德市融资核算中心：</w:t>
      </w:r>
    </w:p>
    <w:p w14:paraId="40460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受你科室委托，根据常德市海绵城市建设投资开发有限公司送审资料，我中心对</w:t>
      </w:r>
      <w:bookmarkStart w:id="2" w:name="OLE_LINK4"/>
      <w:bookmarkStart w:id="3" w:name="OLE_LINK3"/>
      <w:r>
        <w:rPr>
          <w:rFonts w:hint="eastAsia" w:ascii="仿宋_GB2312" w:hAnsi="仿宋_GB2312" w:eastAsia="仿宋_GB2312" w:cs="仿宋_GB2312"/>
          <w:sz w:val="32"/>
          <w:szCs w:val="32"/>
        </w:rPr>
        <w:t>泉水路（环湖路-丰沾路）新建工程</w:t>
      </w:r>
      <w:bookmarkEnd w:id="2"/>
      <w:bookmarkEnd w:id="3"/>
      <w:r>
        <w:rPr>
          <w:rFonts w:hint="eastAsia" w:ascii="仿宋_GB2312" w:hAnsi="仿宋_GB2312" w:eastAsia="仿宋_GB2312" w:cs="仿宋_GB2312"/>
          <w:sz w:val="32"/>
          <w:szCs w:val="32"/>
        </w:rPr>
        <w:t>前期费进行了评价和审查。</w:t>
      </w:r>
    </w:p>
    <w:p w14:paraId="3F7555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项目立项批复情况</w:t>
      </w:r>
    </w:p>
    <w:p w14:paraId="6C6BB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泉水路（太阳大道-环湖路）新建工程由常德市发改委</w:t>
      </w:r>
      <w:bookmarkStart w:id="4" w:name="OLE_LINK5"/>
      <w:bookmarkStart w:id="5" w:name="OLE_LINK6"/>
      <w:r>
        <w:rPr>
          <w:rFonts w:hint="eastAsia" w:ascii="仿宋_GB2312" w:hAnsi="仿宋_GB2312" w:eastAsia="仿宋_GB2312" w:cs="仿宋_GB2312"/>
          <w:sz w:val="32"/>
          <w:szCs w:val="32"/>
        </w:rPr>
        <w:t>常发改投〔2011〕471号批复</w:t>
      </w:r>
      <w:bookmarkEnd w:id="4"/>
      <w:bookmarkEnd w:id="5"/>
      <w:r>
        <w:rPr>
          <w:rFonts w:hint="eastAsia" w:ascii="仿宋_GB2312" w:hAnsi="仿宋_GB2312" w:eastAsia="仿宋_GB2312" w:cs="仿宋_GB2312"/>
          <w:sz w:val="32"/>
          <w:szCs w:val="32"/>
        </w:rPr>
        <w:t>立项，总批复金额为24207万元，其中工程费15981万元，北起环湖路，南接太阳大道，全长4011米，道路等级为城市次干道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环湖路至丰沾路段属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立项</w:t>
      </w:r>
      <w:r>
        <w:rPr>
          <w:rFonts w:hint="eastAsia" w:ascii="仿宋_GB2312" w:hAnsi="仿宋_GB2312" w:eastAsia="仿宋_GB2312" w:cs="仿宋_GB2312"/>
          <w:sz w:val="32"/>
          <w:szCs w:val="32"/>
        </w:rPr>
        <w:t>批复建设内容之一，全长1870米。</w:t>
      </w:r>
    </w:p>
    <w:p w14:paraId="17068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二、项目已评审预结算情况（不含征拆）</w:t>
      </w:r>
    </w:p>
    <w:p w14:paraId="11354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bookmarkStart w:id="6" w:name="OLE_LINK18"/>
      <w:bookmarkStart w:id="7" w:name="OLE_LINK11"/>
      <w:bookmarkStart w:id="8" w:name="OLE_LINK10"/>
      <w:r>
        <w:rPr>
          <w:rFonts w:hint="eastAsia" w:ascii="仿宋_GB2312" w:hAnsi="仿宋_GB2312" w:eastAsia="仿宋_GB2312" w:cs="仿宋_GB2312"/>
          <w:sz w:val="32"/>
          <w:szCs w:val="32"/>
        </w:rPr>
        <w:t>泉水路（环湖路-丰沾路）新建工程</w:t>
      </w:r>
      <w:bookmarkEnd w:id="6"/>
      <w:bookmarkEnd w:id="7"/>
      <w:bookmarkEnd w:id="8"/>
      <w:r>
        <w:rPr>
          <w:rFonts w:hint="eastAsia" w:ascii="仿宋_GB2312" w:hAnsi="仿宋_GB2312" w:eastAsia="仿宋_GB2312" w:cs="仿宋_GB2312"/>
          <w:sz w:val="32"/>
          <w:szCs w:val="32"/>
        </w:rPr>
        <w:t>预算评审金额66581164元（常财审</w:t>
      </w:r>
      <w:bookmarkStart w:id="9" w:name="OLE_LINK9"/>
      <w:r>
        <w:rPr>
          <w:rFonts w:hint="eastAsia" w:ascii="仿宋_GB2312" w:hAnsi="仿宋_GB2312" w:eastAsia="仿宋_GB2312" w:cs="仿宋_GB2312"/>
          <w:sz w:val="32"/>
          <w:szCs w:val="32"/>
        </w:rPr>
        <w:t>〔2013〕</w:t>
      </w:r>
      <w:bookmarkEnd w:id="9"/>
      <w:r>
        <w:rPr>
          <w:rFonts w:hint="eastAsia" w:ascii="仿宋_GB2312" w:hAnsi="仿宋_GB2312" w:eastAsia="仿宋_GB2312" w:cs="仿宋_GB2312"/>
          <w:sz w:val="32"/>
          <w:szCs w:val="32"/>
        </w:rPr>
        <w:t>预字262号，其中工程费58637037元，前期费5012275元，不可预见费2931852元），结算评审工程费56076699元（常财审〔2021〕结字334号）。</w:t>
      </w:r>
    </w:p>
    <w:p w14:paraId="05BFA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三、本次送审情况</w:t>
      </w:r>
    </w:p>
    <w:p w14:paraId="00A37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本次送审</w:t>
      </w:r>
      <w:bookmarkStart w:id="10" w:name="OLE_LINK16"/>
      <w:bookmarkStart w:id="11" w:name="OLE_LINK17"/>
      <w:r>
        <w:rPr>
          <w:rFonts w:hint="eastAsia" w:ascii="仿宋_GB2312" w:hAnsi="仿宋_GB2312" w:eastAsia="仿宋_GB2312" w:cs="仿宋_GB2312"/>
          <w:sz w:val="32"/>
          <w:szCs w:val="32"/>
        </w:rPr>
        <w:t>泉水路（环湖路至丰沾路）新建工程</w:t>
      </w:r>
      <w:bookmarkEnd w:id="10"/>
      <w:bookmarkEnd w:id="11"/>
      <w:r>
        <w:rPr>
          <w:rFonts w:hint="eastAsia" w:ascii="仿宋_GB2312" w:hAnsi="仿宋_GB2312" w:eastAsia="仿宋_GB2312" w:cs="仿宋_GB2312"/>
          <w:sz w:val="32"/>
          <w:szCs w:val="32"/>
        </w:rPr>
        <w:t>服务性前期费，评审编号X202545号。主要包括</w:t>
      </w:r>
      <w:bookmarkStart w:id="12" w:name="OLE_LINK12"/>
      <w:r>
        <w:rPr>
          <w:rFonts w:hint="eastAsia" w:ascii="仿宋_GB2312" w:hAnsi="仿宋_GB2312" w:eastAsia="仿宋_GB2312" w:cs="仿宋_GB2312"/>
          <w:sz w:val="32"/>
          <w:szCs w:val="32"/>
        </w:rPr>
        <w:t>水土保持方案编制费、测绘费、设计费、造价咨询费、震损费、建设单位管理费</w:t>
      </w:r>
      <w:bookmarkEnd w:id="12"/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 w14:paraId="5F191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四、评审意见</w:t>
      </w:r>
    </w:p>
    <w:p w14:paraId="307F5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该服务性前期费</w:t>
      </w:r>
      <w:r>
        <w:rPr>
          <w:rFonts w:hint="eastAsia" w:ascii="仿宋_GB2312" w:hAnsi="仿宋_GB2312" w:eastAsia="仿宋_GB2312" w:cs="仿宋_GB2312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送</w:t>
      </w:r>
      <w:r>
        <w:rPr>
          <w:rFonts w:hint="eastAsia" w:ascii="仿宋_GB2312" w:hAnsi="仿宋_GB2312" w:eastAsia="仿宋_GB2312" w:cs="仿宋_GB2312"/>
          <w:sz w:val="32"/>
          <w:szCs w:val="32"/>
        </w:rPr>
        <w:t>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sz w:val="32"/>
          <w:szCs w:val="32"/>
        </w:rPr>
        <w:t>（第三方审核金额）1496442元，评审发现问题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金额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元（详见附表）。</w:t>
      </w:r>
    </w:p>
    <w:p w14:paraId="27E35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五、有关说明</w:t>
      </w:r>
    </w:p>
    <w:p w14:paraId="19370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1.环境影响报告编制费、可行性研究报告编制费因合同金额超预算评审金额，本次未予送审；</w:t>
      </w:r>
    </w:p>
    <w:p w14:paraId="7E3A5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2.施工图审查费、勘察勘探费、工程测量费、工程检测费因成果文件缺失，本次未予送审；</w:t>
      </w:r>
    </w:p>
    <w:p w14:paraId="6455B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3.监理费因服务单位对第三方机构审核结论有异议，本次未予送审；</w:t>
      </w:r>
    </w:p>
    <w:p w14:paraId="0452C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4.本项目送审资料经项目单位整理收集、主管部门审核、资金管理科室签批，评审中心根据送审资料进行评价和审查，不对资料真实性和完整性、合规性等负责；</w:t>
      </w:r>
    </w:p>
    <w:p w14:paraId="54008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5.对纳入审计监督范围项目，业主单位应及时将完整的结算竣工资料报送市审计局，并积极主动配合审计监督工作，后续如因资料增加或缺失、内容变更造成的费用调整，由业主单位自行负责。</w:t>
      </w:r>
    </w:p>
    <w:p w14:paraId="7B577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910C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B07D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9AC9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349B144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9488F03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6DFC54FA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1A6121A0">
      <w:pPr>
        <w:pStyle w:val="7"/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55BA77BA">
      <w:pPr>
        <w:spacing w:line="560" w:lineRule="exact"/>
        <w:ind w:firstLine="6080" w:firstLineChars="19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D2EFBF5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3A5F602C">
      <w:pPr>
        <w:rPr>
          <w:rFonts w:ascii="仿宋_GB2312" w:hAnsi="仿宋_GB2312" w:eastAsia="仿宋_GB2312" w:cs="仿宋_GB2312"/>
          <w:sz w:val="32"/>
          <w:szCs w:val="32"/>
        </w:rPr>
      </w:pPr>
    </w:p>
    <w:p w14:paraId="218A2BE5">
      <w:pPr>
        <w:rPr>
          <w:rFonts w:ascii="仿宋_GB2312" w:hAnsi="仿宋_GB2312" w:eastAsia="仿宋_GB2312" w:cs="仿宋_GB2312"/>
          <w:sz w:val="32"/>
          <w:szCs w:val="32"/>
        </w:rPr>
      </w:pPr>
    </w:p>
    <w:p w14:paraId="544936D9">
      <w:pPr>
        <w:rPr>
          <w:rFonts w:ascii="仿宋_GB2312" w:hAnsi="仿宋_GB2312" w:eastAsia="仿宋_GB2312" w:cs="仿宋_GB2312"/>
          <w:sz w:val="32"/>
          <w:szCs w:val="32"/>
        </w:rPr>
      </w:pPr>
    </w:p>
    <w:p w14:paraId="60E5AB92">
      <w:pPr>
        <w:rPr>
          <w:rFonts w:ascii="仿宋_GB2312" w:hAnsi="仿宋_GB2312" w:eastAsia="仿宋_GB2312" w:cs="仿宋_GB2312"/>
          <w:sz w:val="32"/>
          <w:szCs w:val="32"/>
        </w:rPr>
      </w:pPr>
    </w:p>
    <w:p w14:paraId="63497AA0">
      <w:pPr>
        <w:rPr>
          <w:rFonts w:ascii="仿宋_GB2312" w:hAnsi="仿宋_GB2312" w:eastAsia="仿宋_GB2312" w:cs="仿宋_GB2312"/>
          <w:sz w:val="32"/>
          <w:szCs w:val="32"/>
        </w:rPr>
      </w:pPr>
    </w:p>
    <w:p w14:paraId="5A3F728D">
      <w:pPr>
        <w:rPr>
          <w:rFonts w:ascii="仿宋_GB2312" w:hAnsi="仿宋_GB2312" w:eastAsia="仿宋_GB2312" w:cs="仿宋_GB2312"/>
          <w:sz w:val="32"/>
          <w:szCs w:val="32"/>
        </w:rPr>
      </w:pPr>
    </w:p>
    <w:p w14:paraId="0FEFC99F">
      <w:pPr>
        <w:rPr>
          <w:rFonts w:ascii="仿宋_GB2312" w:hAnsi="仿宋_GB2312" w:eastAsia="仿宋_GB2312" w:cs="仿宋_GB2312"/>
          <w:sz w:val="32"/>
          <w:szCs w:val="32"/>
        </w:rPr>
      </w:pPr>
    </w:p>
    <w:p w14:paraId="3A68F270">
      <w:pPr>
        <w:rPr>
          <w:rFonts w:ascii="仿宋_GB2312" w:hAnsi="仿宋_GB2312" w:eastAsia="仿宋_GB2312" w:cs="仿宋_GB2312"/>
          <w:sz w:val="32"/>
          <w:szCs w:val="32"/>
        </w:rPr>
      </w:pPr>
    </w:p>
    <w:p w14:paraId="29E7B68A">
      <w:pPr>
        <w:rPr>
          <w:rFonts w:ascii="仿宋_GB2312" w:hAnsi="仿宋_GB2312" w:eastAsia="仿宋_GB2312" w:cs="仿宋_GB2312"/>
          <w:sz w:val="32"/>
          <w:szCs w:val="32"/>
        </w:rPr>
      </w:pPr>
    </w:p>
    <w:p w14:paraId="47E14162">
      <w:pPr>
        <w:rPr>
          <w:rFonts w:ascii="仿宋_GB2312" w:hAnsi="仿宋_GB2312" w:eastAsia="仿宋_GB2312" w:cs="仿宋_GB2312"/>
          <w:sz w:val="32"/>
          <w:szCs w:val="32"/>
        </w:rPr>
      </w:pPr>
      <w:bookmarkStart w:id="15" w:name="_GoBack"/>
      <w:bookmarkEnd w:id="15"/>
      <w:r>
        <w:rPr>
          <w:rFonts w:hint="eastAsia" w:ascii="仿宋_GB2312" w:hAnsi="仿宋_GB2312" w:eastAsia="仿宋_GB2312" w:cs="仿宋_GB2312"/>
          <w:sz w:val="32"/>
          <w:szCs w:val="32"/>
        </w:rPr>
        <w:t>附表</w:t>
      </w:r>
    </w:p>
    <w:tbl>
      <w:tblPr>
        <w:tblStyle w:val="4"/>
        <w:tblW w:w="919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559"/>
        <w:gridCol w:w="2333"/>
        <w:gridCol w:w="1558"/>
        <w:gridCol w:w="2005"/>
      </w:tblGrid>
      <w:tr w14:paraId="2E570E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1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6FF2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44"/>
                <w:szCs w:val="44"/>
              </w:rPr>
              <w:t>泉水路（环湖路-丰沾路）新建工程服务性</w:t>
            </w:r>
          </w:p>
          <w:p w14:paraId="79C3797F"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44"/>
                <w:szCs w:val="44"/>
              </w:rPr>
              <w:t>前期费发现问题情况汇总表</w:t>
            </w:r>
          </w:p>
        </w:tc>
      </w:tr>
      <w:tr w14:paraId="7379A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1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8BB27">
            <w:pPr>
              <w:widowControl/>
              <w:jc w:val="right"/>
              <w:textAlignment w:val="center"/>
              <w:rPr>
                <w:rFonts w:ascii="仿宋_GB2312" w:hAnsi="Arial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Arial" w:eastAsia="仿宋_GB2312" w:cs="仿宋_GB2312"/>
                <w:color w:val="000000"/>
                <w:kern w:val="0"/>
                <w:sz w:val="24"/>
              </w:rPr>
              <w:t>单位：元</w:t>
            </w:r>
          </w:p>
        </w:tc>
      </w:tr>
      <w:tr w14:paraId="173AE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D7AD3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51EC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7D0B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（第三方审核金额）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72A2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评审发现问题金额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20F2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 xml:space="preserve">备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注</w:t>
            </w:r>
          </w:p>
        </w:tc>
      </w:tr>
      <w:tr w14:paraId="6E4E4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5F40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2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9D48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水土保持方案编制费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30BE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100000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0BBC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48EB7"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按预算金额计取</w:t>
            </w:r>
          </w:p>
        </w:tc>
      </w:tr>
      <w:tr w14:paraId="55088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F213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2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B217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地籍测绘、拨地定桩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9A31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106000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74BB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52CE0"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市国土测绘院，按票面金额计取</w:t>
            </w:r>
          </w:p>
        </w:tc>
      </w:tr>
      <w:tr w14:paraId="1C020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6ADC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2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50CE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拨地定桩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F5B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13600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1E3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9653A"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6804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D043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2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77F1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建库图、内业作业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02C1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900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03D2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B19EC"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6BCE71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5D6D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2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0EF1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设计费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444B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586000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DEF7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DDC3C"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按预算金额计取</w:t>
            </w:r>
          </w:p>
        </w:tc>
      </w:tr>
      <w:tr w14:paraId="1B1BC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8DF8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6</w:t>
            </w:r>
          </w:p>
        </w:tc>
        <w:tc>
          <w:tcPr>
            <w:tcW w:w="2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E51D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造价咨询费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6E91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123175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FFD5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9AB27"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湘价服</w:t>
            </w:r>
            <w:bookmarkStart w:id="13" w:name="OLE_LINK15"/>
            <w:bookmarkStart w:id="14" w:name="OLE_LINK14"/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〔2009〕</w:t>
            </w:r>
            <w:bookmarkEnd w:id="13"/>
            <w:bookmarkEnd w:id="14"/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81号、常财办发〔2010〕19号</w:t>
            </w:r>
          </w:p>
        </w:tc>
      </w:tr>
      <w:tr w14:paraId="7F910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1F38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7</w:t>
            </w:r>
          </w:p>
        </w:tc>
        <w:tc>
          <w:tcPr>
            <w:tcW w:w="2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9FE1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震损评估费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E693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3000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4CA0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0FE15"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按预算金额计取</w:t>
            </w:r>
          </w:p>
        </w:tc>
      </w:tr>
      <w:tr w14:paraId="1A92A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E0217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  <w:p w14:paraId="0F47927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8</w:t>
            </w:r>
          </w:p>
        </w:tc>
        <w:tc>
          <w:tcPr>
            <w:tcW w:w="2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3F85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建设单位管理费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8C9E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560767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B7B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D6A8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  <w:tr w14:paraId="16C2B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11AA0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  <w:p w14:paraId="25D3AA5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9</w:t>
            </w:r>
          </w:p>
        </w:tc>
        <w:tc>
          <w:tcPr>
            <w:tcW w:w="2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A37C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第三方结算审核费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2B2F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3000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2D64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C93B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  <w:tr w14:paraId="40A3D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55A42DE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1577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合  计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8DBF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1496442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E168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0FAFC"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 w14:paraId="0D72A021">
      <w:pPr>
        <w:rPr>
          <w:rFonts w:ascii="仿宋" w:hAnsi="仿宋" w:eastAsia="仿宋" w:cs="仿宋"/>
          <w:sz w:val="24"/>
        </w:rPr>
      </w:pPr>
    </w:p>
    <w:sectPr>
      <w:pgSz w:w="11906" w:h="16838"/>
      <w:pgMar w:top="2154" w:right="1531" w:bottom="1440" w:left="1531" w:header="851" w:footer="992" w:gutter="0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70B33A1D-052C-4742-A9D4-C79754184DB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FAE896E-C6B4-413E-923A-864E56A2F21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AF76B77-82C5-4036-B093-ED72E5655FA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1D097B5-BFBF-469C-8816-BD26A4E2345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5AB65211"/>
    <w:rsid w:val="0003759F"/>
    <w:rsid w:val="0006764B"/>
    <w:rsid w:val="00124983"/>
    <w:rsid w:val="001373CA"/>
    <w:rsid w:val="001508D4"/>
    <w:rsid w:val="001628E2"/>
    <w:rsid w:val="00170DC9"/>
    <w:rsid w:val="00174904"/>
    <w:rsid w:val="00187160"/>
    <w:rsid w:val="001932FA"/>
    <w:rsid w:val="001C282F"/>
    <w:rsid w:val="00203C5E"/>
    <w:rsid w:val="002F61A3"/>
    <w:rsid w:val="003221E4"/>
    <w:rsid w:val="003C1629"/>
    <w:rsid w:val="00404DF5"/>
    <w:rsid w:val="004C0E60"/>
    <w:rsid w:val="004C6526"/>
    <w:rsid w:val="004E6C41"/>
    <w:rsid w:val="005367B7"/>
    <w:rsid w:val="00577027"/>
    <w:rsid w:val="005B37C9"/>
    <w:rsid w:val="00672CC2"/>
    <w:rsid w:val="00690B48"/>
    <w:rsid w:val="006B6E0D"/>
    <w:rsid w:val="006D22D2"/>
    <w:rsid w:val="006F61ED"/>
    <w:rsid w:val="00724A26"/>
    <w:rsid w:val="007B3C05"/>
    <w:rsid w:val="007C4D1A"/>
    <w:rsid w:val="007C7E88"/>
    <w:rsid w:val="0084560E"/>
    <w:rsid w:val="00881D1F"/>
    <w:rsid w:val="008A38C3"/>
    <w:rsid w:val="00985E1B"/>
    <w:rsid w:val="00A23624"/>
    <w:rsid w:val="00B17D80"/>
    <w:rsid w:val="00BC572A"/>
    <w:rsid w:val="00CF0101"/>
    <w:rsid w:val="00DB2C94"/>
    <w:rsid w:val="00E60A9C"/>
    <w:rsid w:val="00F426D7"/>
    <w:rsid w:val="00F72CD2"/>
    <w:rsid w:val="016722DB"/>
    <w:rsid w:val="073058AF"/>
    <w:rsid w:val="09B47E91"/>
    <w:rsid w:val="0A9877F2"/>
    <w:rsid w:val="0D1F336B"/>
    <w:rsid w:val="0F650486"/>
    <w:rsid w:val="122A36D2"/>
    <w:rsid w:val="12971BF6"/>
    <w:rsid w:val="152F6F86"/>
    <w:rsid w:val="172A60BA"/>
    <w:rsid w:val="179426E5"/>
    <w:rsid w:val="18E33C2B"/>
    <w:rsid w:val="1E047E0B"/>
    <w:rsid w:val="1EBE4245"/>
    <w:rsid w:val="1FD61FB0"/>
    <w:rsid w:val="20D12980"/>
    <w:rsid w:val="233722E6"/>
    <w:rsid w:val="2CFF241A"/>
    <w:rsid w:val="2D636E4D"/>
    <w:rsid w:val="2FB03F14"/>
    <w:rsid w:val="30472667"/>
    <w:rsid w:val="30A210BB"/>
    <w:rsid w:val="31B567CE"/>
    <w:rsid w:val="32B22189"/>
    <w:rsid w:val="35441B38"/>
    <w:rsid w:val="37063266"/>
    <w:rsid w:val="3A2D56DA"/>
    <w:rsid w:val="3A3E63E3"/>
    <w:rsid w:val="3DB613B5"/>
    <w:rsid w:val="40B7508E"/>
    <w:rsid w:val="41E82F93"/>
    <w:rsid w:val="44336900"/>
    <w:rsid w:val="45CF6468"/>
    <w:rsid w:val="47584DBF"/>
    <w:rsid w:val="49837F30"/>
    <w:rsid w:val="4C0D6FF1"/>
    <w:rsid w:val="4C455BDF"/>
    <w:rsid w:val="4CC27294"/>
    <w:rsid w:val="4D8030EB"/>
    <w:rsid w:val="4F8356CE"/>
    <w:rsid w:val="513D15DF"/>
    <w:rsid w:val="52064118"/>
    <w:rsid w:val="54DD333B"/>
    <w:rsid w:val="54EA3F8A"/>
    <w:rsid w:val="58442ECB"/>
    <w:rsid w:val="58B4156E"/>
    <w:rsid w:val="591F21F1"/>
    <w:rsid w:val="5922354D"/>
    <w:rsid w:val="5AB65211"/>
    <w:rsid w:val="5E4A1F22"/>
    <w:rsid w:val="5E5F6603"/>
    <w:rsid w:val="60B51595"/>
    <w:rsid w:val="635527B8"/>
    <w:rsid w:val="638D1C65"/>
    <w:rsid w:val="65C27948"/>
    <w:rsid w:val="69D00B37"/>
    <w:rsid w:val="6A7618A7"/>
    <w:rsid w:val="6F8F04BD"/>
    <w:rsid w:val="705804CB"/>
    <w:rsid w:val="725F7A46"/>
    <w:rsid w:val="74357CF4"/>
    <w:rsid w:val="77A63619"/>
    <w:rsid w:val="77D376CA"/>
    <w:rsid w:val="789E78B1"/>
    <w:rsid w:val="790939D1"/>
    <w:rsid w:val="79546BC7"/>
    <w:rsid w:val="7DCC7C79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991</Words>
  <Characters>1128</Characters>
  <Lines>8</Lines>
  <Paragraphs>2</Paragraphs>
  <TotalTime>98</TotalTime>
  <ScaleCrop>false</ScaleCrop>
  <LinksUpToDate>false</LinksUpToDate>
  <CharactersWithSpaces>1138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2026-01-08T06:52:00Z</cp:lastPrinted>
  <dcterms:modified xsi:type="dcterms:W3CDTF">2026-04-10T01:32:24Z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