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FC60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center"/>
        <w:textAlignment w:val="auto"/>
        <w:rPr>
          <w:rFonts w:hint="eastAsia" w:ascii="仿宋_GB2312" w:hAnsi="仿宋_GB2312" w:eastAsia="仿宋_GB2312"/>
          <w:sz w:val="32"/>
        </w:rPr>
      </w:pPr>
    </w:p>
    <w:p w14:paraId="12C9A3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center"/>
        <w:textAlignment w:val="auto"/>
        <w:rPr>
          <w:rFonts w:hint="eastAsia" w:ascii="仿宋_GB2312" w:hAnsi="仿宋_GB2312" w:eastAsia="仿宋_GB2312"/>
          <w:sz w:val="32"/>
        </w:rPr>
      </w:pPr>
    </w:p>
    <w:p w14:paraId="6DA147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center"/>
        <w:textAlignment w:val="auto"/>
        <w:rPr>
          <w:rFonts w:hint="eastAsia" w:ascii="仿宋_GB2312" w:hAnsi="仿宋_GB2312" w:eastAsia="仿宋_GB2312"/>
          <w:sz w:val="32"/>
        </w:rPr>
      </w:pPr>
    </w:p>
    <w:p w14:paraId="3871A3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center"/>
        <w:textAlignment w:val="auto"/>
        <w:rPr>
          <w:rFonts w:hint="eastAsia" w:ascii="仿宋_GB2312" w:hAnsi="仿宋_GB2312" w:eastAsia="仿宋_GB2312"/>
          <w:sz w:val="32"/>
        </w:rPr>
      </w:pPr>
    </w:p>
    <w:p w14:paraId="79E49C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center"/>
        <w:textAlignment w:val="auto"/>
        <w:rPr>
          <w:rFonts w:hint="eastAsia" w:ascii="仿宋_GB2312" w:hAnsi="仿宋_GB2312" w:eastAsia="仿宋_GB2312"/>
          <w:sz w:val="32"/>
        </w:rPr>
      </w:pPr>
    </w:p>
    <w:p w14:paraId="0C3F6B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center"/>
        <w:textAlignment w:val="auto"/>
        <w:rPr>
          <w:rFonts w:hint="eastAsia" w:ascii="仿宋_GB2312" w:hAnsi="仿宋_GB2312" w:eastAsia="仿宋_GB2312"/>
          <w:sz w:val="32"/>
        </w:rPr>
      </w:pPr>
    </w:p>
    <w:p w14:paraId="7809B7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center"/>
        <w:textAlignment w:val="auto"/>
        <w:rPr>
          <w:rFonts w:hint="eastAsia" w:ascii="仿宋_GB2312" w:hAnsi="仿宋_GB2312" w:eastAsia="仿宋_GB2312"/>
          <w:sz w:val="32"/>
          <w:szCs w:val="32"/>
        </w:rPr>
      </w:pPr>
    </w:p>
    <w:p w14:paraId="09A58409">
      <w:pPr>
        <w:ind w:left="0" w:leftChars="0" w:right="0" w:rightChars="0" w:firstLine="0" w:firstLineChars="0"/>
        <w:jc w:val="center"/>
        <w:rPr>
          <w:rFonts w:hint="eastAsia" w:ascii="仿宋_GB2312" w:hAnsi="仿宋_GB2312" w:eastAsia="仿宋_GB2312"/>
          <w:sz w:val="32"/>
        </w:rPr>
      </w:pPr>
      <w:r>
        <w:rPr>
          <w:rFonts w:hint="eastAsia" w:ascii="仿宋_GB2312" w:hAnsi="仿宋_GB2312" w:eastAsia="仿宋_GB2312"/>
          <w:sz w:val="32"/>
        </w:rPr>
        <w:t>常财审〔20</w:t>
      </w:r>
      <w:r>
        <w:rPr>
          <w:rFonts w:hint="eastAsia" w:ascii="仿宋_GB2312" w:hAnsi="仿宋_GB2312" w:eastAsia="仿宋_GB2312"/>
          <w:sz w:val="32"/>
          <w:lang w:val="en-US" w:eastAsia="zh-CN"/>
        </w:rPr>
        <w:t>26</w:t>
      </w:r>
      <w:r>
        <w:rPr>
          <w:rFonts w:hint="eastAsia" w:ascii="仿宋_GB2312" w:hAnsi="仿宋_GB2312" w:eastAsia="仿宋_GB2312"/>
          <w:sz w:val="32"/>
        </w:rPr>
        <w:t>〕结字</w:t>
      </w:r>
      <w:r>
        <w:rPr>
          <w:rFonts w:hint="eastAsia" w:ascii="仿宋_GB2312" w:hAnsi="仿宋_GB2312" w:eastAsia="仿宋_GB2312"/>
          <w:sz w:val="32"/>
          <w:lang w:val="en-US" w:eastAsia="zh-CN"/>
        </w:rPr>
        <w:t>22</w:t>
      </w:r>
      <w:r>
        <w:rPr>
          <w:rFonts w:hint="eastAsia" w:ascii="仿宋_GB2312" w:hAnsi="仿宋_GB2312" w:eastAsia="仿宋_GB2312"/>
          <w:sz w:val="32"/>
        </w:rPr>
        <w:t>号</w:t>
      </w:r>
    </w:p>
    <w:p w14:paraId="58A33A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center"/>
        <w:textAlignment w:val="auto"/>
        <w:rPr>
          <w:rFonts w:hint="eastAsia" w:ascii="宋体" w:hAnsi="宋体" w:cs="宋体"/>
          <w:spacing w:val="20"/>
          <w:sz w:val="44"/>
          <w:szCs w:val="44"/>
        </w:rPr>
      </w:pPr>
    </w:p>
    <w:p w14:paraId="353E371F">
      <w:pPr>
        <w:numPr>
          <w:ilvl w:val="0"/>
          <w:numId w:val="0"/>
        </w:numPr>
        <w:jc w:val="center"/>
        <w:rPr>
          <w:rFonts w:hint="eastAsia" w:asciiTheme="majorEastAsia" w:hAnsiTheme="majorEastAsia" w:eastAsiaTheme="majorEastAsia" w:cstheme="majorEastAsia"/>
          <w:sz w:val="44"/>
          <w:szCs w:val="4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pacing w:val="-11"/>
          <w:sz w:val="44"/>
          <w:szCs w:val="44"/>
          <w:lang w:val="en-US" w:eastAsia="zh-CN"/>
        </w:rPr>
        <w:t>关于滨湖西路（金丹路-芙蓉路）新建工程服务</w:t>
      </w:r>
      <w:r>
        <w:rPr>
          <w:rFonts w:hint="eastAsia" w:asciiTheme="majorEastAsia" w:hAnsiTheme="majorEastAsia" w:eastAsiaTheme="majorEastAsia" w:cstheme="majorEastAsia"/>
          <w:spacing w:val="20"/>
          <w:sz w:val="44"/>
          <w:szCs w:val="44"/>
          <w:lang w:val="en-US" w:eastAsia="zh-CN"/>
        </w:rPr>
        <w:t>性前期费</w:t>
      </w:r>
      <w:r>
        <w:rPr>
          <w:rFonts w:hint="eastAsia" w:asciiTheme="majorEastAsia" w:hAnsiTheme="majorEastAsia" w:eastAsiaTheme="majorEastAsia" w:cstheme="majorEastAsia"/>
          <w:sz w:val="44"/>
          <w:szCs w:val="44"/>
          <w:lang w:val="en-US" w:eastAsia="zh-CN"/>
        </w:rPr>
        <w:t>的评审意见</w:t>
      </w:r>
    </w:p>
    <w:p w14:paraId="1E0A423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600" w:firstLineChars="5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6ABC3A1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常德市融资核算中心：</w:t>
      </w:r>
    </w:p>
    <w:p w14:paraId="2AE4836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受你科室委托，根据常德市西城新区投资建设开发有限公司送审资料，我中心对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滨湖西路（金丹路-芙蓉路）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新建工程服务性前期费进行了评价和审查。</w:t>
      </w:r>
    </w:p>
    <w:p w14:paraId="2B93B12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kern w:val="2"/>
          <w:sz w:val="32"/>
          <w:szCs w:val="32"/>
          <w:lang w:val="en-US" w:eastAsia="zh-CN" w:bidi="ar-SA"/>
        </w:rPr>
        <w:t>一、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项目立项批复情况</w:t>
      </w:r>
    </w:p>
    <w:p w14:paraId="1879562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2009年9月25日常德市发改委以常发改投〔2009〕468号批复建设江北城区长庚路等6条道路，分别为长庚路、紫菱西路、竹叶路、滨湖西路、高泗路和洞庭大道西延线。项目总批复金额为59100万元，其中滨湖西路批复建设金额为7300万元。</w:t>
      </w:r>
    </w:p>
    <w:p w14:paraId="2598044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kern w:val="2"/>
          <w:sz w:val="32"/>
          <w:szCs w:val="32"/>
          <w:lang w:val="en-US" w:eastAsia="zh-CN" w:bidi="ar-SA"/>
        </w:rPr>
        <w:t>二、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项目已评审预结算情况（不含征拆）</w:t>
      </w:r>
    </w:p>
    <w:p w14:paraId="10E9E87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滨湖西路（金丹路-芙蓉路）新建工程预算评审金额43056038元（常财审〔2010〕预字294号，其中工程费41005750元，不可预见费2050288元），主体工程结算评审金额56248083元(常财审〔2015〕结字77号)。</w:t>
      </w:r>
    </w:p>
    <w:p w14:paraId="36C7129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kern w:val="2"/>
          <w:sz w:val="32"/>
          <w:szCs w:val="32"/>
          <w:lang w:val="en-US" w:eastAsia="zh-CN" w:bidi="ar-SA"/>
        </w:rPr>
        <w:t>三、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本次送审情况</w:t>
      </w:r>
    </w:p>
    <w:p w14:paraId="1CBA892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次送审滨湖西路（金丹路-芙蓉路）新建工程服务性前期费，评审编号X202512号。主要包括水土保持方案编制费、可研报告编制费、测绘费、设计费（绿化部分）、造价咨询费、监理费、震损评估费及补偿费、建设单位管理费、第三方结算审核费。</w:t>
      </w:r>
    </w:p>
    <w:p w14:paraId="705AE93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黑体" w:hAnsi="黑体" w:eastAsia="黑体" w:cs="黑体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color w:val="auto"/>
          <w:kern w:val="2"/>
          <w:sz w:val="32"/>
          <w:szCs w:val="32"/>
          <w:lang w:val="en-US" w:eastAsia="zh-CN" w:bidi="ar-SA"/>
        </w:rPr>
        <w:t>四、存在的问题</w:t>
      </w:r>
    </w:p>
    <w:p w14:paraId="1E0D80B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根据送审资料显示，建设单位对滨湖西路、长庚路、紫菱西路、竹叶路、高泗路五条道路进行了单独委托绿化设计，此应为道路设计中应包含设计的内容。</w:t>
      </w:r>
    </w:p>
    <w:p w14:paraId="6D353E2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五、评审意见</w:t>
      </w:r>
    </w:p>
    <w:p w14:paraId="21C39FA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zh-CN" w:eastAsia="zh-CN"/>
        </w:rPr>
        <w:t>该服务性前期费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报</w:t>
      </w:r>
      <w:r>
        <w:rPr>
          <w:rFonts w:hint="eastAsia" w:ascii="仿宋_GB2312" w:hAnsi="仿宋_GB2312" w:eastAsia="仿宋_GB2312" w:cs="仿宋_GB2312"/>
          <w:sz w:val="32"/>
          <w:szCs w:val="32"/>
          <w:lang w:val="zh-CN" w:eastAsia="zh-CN"/>
        </w:rPr>
        <w:t>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评</w:t>
      </w:r>
      <w:r>
        <w:rPr>
          <w:rFonts w:hint="eastAsia" w:ascii="仿宋_GB2312" w:hAnsi="仿宋_GB2312" w:eastAsia="仿宋_GB2312" w:cs="仿宋_GB2312"/>
          <w:sz w:val="32"/>
          <w:szCs w:val="32"/>
          <w:lang w:val="zh-CN" w:eastAsia="zh-CN"/>
        </w:rPr>
        <w:t>审金额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（第三方审核金额）1617676元，评审发现问题</w:t>
      </w:r>
      <w:r>
        <w:rPr>
          <w:rFonts w:hint="eastAsia" w:ascii="仿宋_GB2312" w:hAnsi="仿宋_GB2312" w:eastAsia="仿宋_GB2312" w:cs="仿宋_GB2312"/>
          <w:sz w:val="32"/>
          <w:szCs w:val="32"/>
          <w:lang w:val="zh-CN" w:eastAsia="zh-CN"/>
        </w:rPr>
        <w:t>金额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  <w:lang w:val="zh-CN" w:eastAsia="zh-CN"/>
        </w:rPr>
        <w:t>元（详见附表）。</w:t>
      </w:r>
    </w:p>
    <w:p w14:paraId="1B19287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kern w:val="2"/>
          <w:sz w:val="32"/>
          <w:szCs w:val="32"/>
          <w:lang w:val="en-US" w:eastAsia="zh-CN" w:bidi="ar-SA"/>
        </w:rPr>
        <w:t>六、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有关说明</w:t>
      </w:r>
    </w:p>
    <w:p w14:paraId="2D7B5FE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建设单位管理费以结算审定工程费为计算基数；</w:t>
      </w:r>
    </w:p>
    <w:p w14:paraId="5C652AE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2.本次评审的常德市国土测绘院的测绘费发生在不同时期，测绘内容各不相同，难以辨别，现根据服务单位的具体情况说明列入；</w:t>
      </w:r>
    </w:p>
    <w:p w14:paraId="327F2A0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3.根据送审资料显示，该工程全部服务性前期费已清理完毕。除本次已审结算费用外，环境影响报告书编制、设计费（不含绿化设计）、施工图审查费、勘察勘探费及工程检测费缺乏关键资料，本次未予送审；</w:t>
      </w:r>
    </w:p>
    <w:p w14:paraId="1C959DE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4.震损检测费、房屋评估费、土地评估费、拆迁补偿咨询服务费无任何资料，应属于土地建设成本，另行结算；</w:t>
      </w:r>
    </w:p>
    <w:p w14:paraId="7A604BA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5.本项目送审资料经项目单位整理收集、主管部门审核、资金管理科室签批，评审中心根据送审资料进行评价和审查，不对资料真实性和完整性、合规性等负责；</w:t>
      </w:r>
    </w:p>
    <w:p w14:paraId="479B145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6.对纳入审计监督范围项目，业主单位应及时将完整的结算竣工资料报送市审计局，并积极主动配合审计监督工作，后续如因资料增加或缺失、内容变更造成的费用调整，由业主单位自行负责。</w:t>
      </w:r>
    </w:p>
    <w:p w14:paraId="039650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 w14:paraId="675EF4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 w14:paraId="531F7A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bookmarkStart w:id="0" w:name="_GoBack"/>
      <w:bookmarkEnd w:id="0"/>
    </w:p>
    <w:p w14:paraId="5269E83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1F12FCA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44875B7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277C9913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常德市财政局投资评审中心</w:t>
      </w:r>
    </w:p>
    <w:p w14:paraId="59E836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80" w:firstLineChars="19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2026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13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</w:t>
      </w:r>
    </w:p>
    <w:p w14:paraId="2B1B6D3D">
      <w:pPr>
        <w:numPr>
          <w:ilvl w:val="0"/>
          <w:numId w:val="0"/>
        </w:num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4253F82F">
      <w:pPr>
        <w:numPr>
          <w:ilvl w:val="0"/>
          <w:numId w:val="0"/>
        </w:num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2643EAFE">
      <w:pPr>
        <w:numPr>
          <w:ilvl w:val="0"/>
          <w:numId w:val="0"/>
        </w:num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30C0124D">
      <w:pPr>
        <w:numPr>
          <w:ilvl w:val="0"/>
          <w:numId w:val="0"/>
        </w:num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12ABA34F">
      <w:pPr>
        <w:numPr>
          <w:ilvl w:val="0"/>
          <w:numId w:val="0"/>
        </w:num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附表</w:t>
      </w:r>
    </w:p>
    <w:tbl>
      <w:tblPr>
        <w:tblStyle w:val="4"/>
        <w:tblW w:w="9456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1"/>
        <w:gridCol w:w="2729"/>
        <w:gridCol w:w="2538"/>
        <w:gridCol w:w="1666"/>
        <w:gridCol w:w="1762"/>
      </w:tblGrid>
      <w:tr w14:paraId="416F86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901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top"/>
          </w:tcPr>
          <w:p w14:paraId="442BE16C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宋体" w:hAnsi="宋体" w:eastAsia="宋体" w:cs="宋体"/>
                <w:spacing w:val="-11"/>
                <w:sz w:val="44"/>
                <w:szCs w:val="44"/>
                <w:lang w:val="en-US" w:eastAsia="zh-CN"/>
              </w:rPr>
              <w:t>滨湖西路（金丹路--芙蓉路）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新建工程服务性前期费发现问题情况汇总表</w:t>
            </w:r>
          </w:p>
        </w:tc>
      </w:tr>
      <w:tr w14:paraId="455C5A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901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F9B4B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单位：元</w:t>
            </w:r>
          </w:p>
        </w:tc>
      </w:tr>
      <w:tr w14:paraId="79206A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728A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2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4840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A582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报送评审金额</w:t>
            </w: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（第三方审核金额）</w:t>
            </w:r>
          </w:p>
        </w:tc>
        <w:tc>
          <w:tcPr>
            <w:tcW w:w="1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897D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评审发现问题金额</w:t>
            </w:r>
          </w:p>
        </w:tc>
        <w:tc>
          <w:tcPr>
            <w:tcW w:w="1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95C2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备 注</w:t>
            </w:r>
          </w:p>
        </w:tc>
      </w:tr>
      <w:tr w14:paraId="6A8D39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35D4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2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BC8D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水土保持方案编制费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9DB0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62600</w:t>
            </w:r>
          </w:p>
        </w:tc>
        <w:tc>
          <w:tcPr>
            <w:tcW w:w="1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8739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44E25C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6B127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29CC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2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27CC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可行性研究报告编制费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397A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43800</w:t>
            </w:r>
          </w:p>
        </w:tc>
        <w:tc>
          <w:tcPr>
            <w:tcW w:w="1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DFFF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DA5FC6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7CE26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1F06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2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FD44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地籍测绘费、拨地定桩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448C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169130</w:t>
            </w:r>
          </w:p>
        </w:tc>
        <w:tc>
          <w:tcPr>
            <w:tcW w:w="1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A4CE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71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2AF2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市国土测绘院</w:t>
            </w:r>
          </w:p>
        </w:tc>
      </w:tr>
      <w:tr w14:paraId="6FAF4D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E97B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2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5FB8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清绘费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53F6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1637</w:t>
            </w:r>
          </w:p>
        </w:tc>
        <w:tc>
          <w:tcPr>
            <w:tcW w:w="1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0A05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71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BDCCFC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5681C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C5AF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2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6782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工程测量费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9051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56000</w:t>
            </w:r>
          </w:p>
        </w:tc>
        <w:tc>
          <w:tcPr>
            <w:tcW w:w="1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87C9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047B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市规划设计院</w:t>
            </w:r>
          </w:p>
        </w:tc>
      </w:tr>
      <w:tr w14:paraId="146F56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C677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2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69C6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设计费（绿化设计）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1C68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25594</w:t>
            </w:r>
          </w:p>
        </w:tc>
        <w:tc>
          <w:tcPr>
            <w:tcW w:w="1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20EF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50913B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6FA47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2829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2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BAFA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造价咨询费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09E2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107112</w:t>
            </w:r>
          </w:p>
        </w:tc>
        <w:tc>
          <w:tcPr>
            <w:tcW w:w="1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2B36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075D82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E9D8A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C856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2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55A2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监理费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4E0A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654239</w:t>
            </w:r>
          </w:p>
        </w:tc>
        <w:tc>
          <w:tcPr>
            <w:tcW w:w="1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1C68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50B3B1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D26CA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C1D9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2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D057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震损鉴定、补偿费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77FD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62661</w:t>
            </w:r>
          </w:p>
        </w:tc>
        <w:tc>
          <w:tcPr>
            <w:tcW w:w="1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BD6A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9E9189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7D5DC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753F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2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ACB3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建设单位管理费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2429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431704</w:t>
            </w:r>
          </w:p>
        </w:tc>
        <w:tc>
          <w:tcPr>
            <w:tcW w:w="1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CCDD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F07C08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EAA13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ED99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2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7A5E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第三方结算审核费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7EF6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3199</w:t>
            </w:r>
          </w:p>
        </w:tc>
        <w:tc>
          <w:tcPr>
            <w:tcW w:w="1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5101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1861B0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050DF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E27C09C">
            <w:pPr>
              <w:jc w:val="left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E21D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  计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1F85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1617676</w:t>
            </w:r>
          </w:p>
        </w:tc>
        <w:tc>
          <w:tcPr>
            <w:tcW w:w="1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6323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77F014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</w:tbl>
    <w:p w14:paraId="63E86816">
      <w:pPr>
        <w:numPr>
          <w:ilvl w:val="0"/>
          <w:numId w:val="0"/>
        </w:numPr>
        <w:rPr>
          <w:rFonts w:hint="default" w:ascii="方正仿宋_GB2312" w:hAnsi="方正仿宋_GB2312" w:eastAsia="方正仿宋_GB2312" w:cs="方正仿宋_GB2312"/>
          <w:sz w:val="32"/>
          <w:szCs w:val="32"/>
          <w:lang w:val="en-US" w:eastAsia="zh-CN"/>
        </w:rPr>
      </w:pPr>
    </w:p>
    <w:sectPr>
      <w:pgSz w:w="11906" w:h="16838"/>
      <w:pgMar w:top="2154" w:right="1531" w:bottom="1440" w:left="1531" w:header="851" w:footer="992" w:gutter="0"/>
      <w:pgNumType w:fmt="decimal"/>
      <w:cols w:space="0" w:num="1"/>
      <w:titlePg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  <w:embedRegular r:id="rId1" w:fontKey="{439CB4E3-59FC-4227-8BDF-FA0C4A01801F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62B8AE29-7B73-4F77-9220-E941E1B36B65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3" w:fontKey="{6B47C868-25E3-406D-A4EF-4ABB7FCBD612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4" w:fontKey="{E6B2EB85-1198-475D-B4B2-DB88A302EE32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AB65211"/>
    <w:rsid w:val="00E60A9C"/>
    <w:rsid w:val="0144093A"/>
    <w:rsid w:val="016722DB"/>
    <w:rsid w:val="09B47E91"/>
    <w:rsid w:val="0A9877F2"/>
    <w:rsid w:val="0AFE305B"/>
    <w:rsid w:val="10434EB1"/>
    <w:rsid w:val="122A36D2"/>
    <w:rsid w:val="12971BF6"/>
    <w:rsid w:val="15C50458"/>
    <w:rsid w:val="172A60BA"/>
    <w:rsid w:val="1AEB28B8"/>
    <w:rsid w:val="1E047E0B"/>
    <w:rsid w:val="1EBE4245"/>
    <w:rsid w:val="1FD61FB0"/>
    <w:rsid w:val="2CFF241A"/>
    <w:rsid w:val="2D636E4D"/>
    <w:rsid w:val="2FB03F14"/>
    <w:rsid w:val="30472667"/>
    <w:rsid w:val="32B02EE0"/>
    <w:rsid w:val="32B22189"/>
    <w:rsid w:val="40B7508E"/>
    <w:rsid w:val="47584DBF"/>
    <w:rsid w:val="49837F30"/>
    <w:rsid w:val="4CC27294"/>
    <w:rsid w:val="4D8030EB"/>
    <w:rsid w:val="4DD1083B"/>
    <w:rsid w:val="4F8356CE"/>
    <w:rsid w:val="513D15DF"/>
    <w:rsid w:val="54DD333B"/>
    <w:rsid w:val="54EA3F8A"/>
    <w:rsid w:val="5922354D"/>
    <w:rsid w:val="5AB65211"/>
    <w:rsid w:val="5B8D1F0F"/>
    <w:rsid w:val="5C0D3EA3"/>
    <w:rsid w:val="5E4A1F22"/>
    <w:rsid w:val="5E5F6603"/>
    <w:rsid w:val="60B51595"/>
    <w:rsid w:val="635527B8"/>
    <w:rsid w:val="638D1C65"/>
    <w:rsid w:val="65C27948"/>
    <w:rsid w:val="6841399C"/>
    <w:rsid w:val="6A7618A7"/>
    <w:rsid w:val="6F8F04BD"/>
    <w:rsid w:val="77A63619"/>
    <w:rsid w:val="77D376CA"/>
    <w:rsid w:val="7DCC7C79"/>
    <w:rsid w:val="7E5A6EC4"/>
    <w:rsid w:val="7FA27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customStyle="1" w:styleId="6">
    <w:name w:val="font71"/>
    <w:basedOn w:val="5"/>
    <w:qFormat/>
    <w:uiPriority w:val="0"/>
    <w:rPr>
      <w:rFonts w:hint="eastAsia" w:ascii="仿宋_GB2312" w:eastAsia="仿宋_GB2312" w:cs="仿宋_GB2312"/>
      <w:b/>
      <w:bCs/>
      <w:color w:val="000000"/>
      <w:sz w:val="22"/>
      <w:szCs w:val="22"/>
      <w:u w:val="none"/>
    </w:rPr>
  </w:style>
  <w:style w:type="paragraph" w:customStyle="1" w:styleId="7">
    <w:name w:val="列出段落1"/>
    <w:basedOn w:val="1"/>
    <w:next w:val="1"/>
    <w:qFormat/>
    <w:uiPriority w:val="34"/>
    <w:pPr>
      <w:ind w:firstLine="420"/>
    </w:pPr>
  </w:style>
  <w:style w:type="character" w:customStyle="1" w:styleId="8">
    <w:name w:val="font41"/>
    <w:basedOn w:val="5"/>
    <w:qFormat/>
    <w:uiPriority w:val="0"/>
    <w:rPr>
      <w:rFonts w:hint="eastAsia" w:ascii="仿宋_GB2312" w:eastAsia="仿宋_GB2312" w:cs="仿宋_GB2312"/>
      <w:b/>
      <w:bCs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1186</Words>
  <Characters>1319</Characters>
  <Lines>0</Lines>
  <Paragraphs>0</Paragraphs>
  <TotalTime>8</TotalTime>
  <ScaleCrop>false</ScaleCrop>
  <LinksUpToDate>false</LinksUpToDate>
  <CharactersWithSpaces>1328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2025-12-15T00:18:00Z</dcterms:created>
  <dc:creator>～小太阳。</dc:creator>
  <cp:lastModifiedBy>～小太阳。</cp:lastModifiedBy>
  <cp:lastPrinted>2026-01-13T01:50:00Z</cp:lastPrinted>
  <dcterms:modified xsi:type="dcterms:W3CDTF">2026-04-10T01:34:31Z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9B349FAA253A4CBDAACA9B9C4D1112D2_13</vt:lpwstr>
  </property>
  <property fmtid="{D5CDD505-2E9C-101B-9397-08002B2CF9AE}" pid="4" name="KSOTemplateDocerSaveRecord">
    <vt:lpwstr>eyJoZGlkIjoiZWMwNTc0MGJjNGVlNGU2MWIxYzUzZGM2Y2Q4MTIzY2EiLCJ1c2VySWQiOiIxMDc2NTE4NzkzIn0=</vt:lpwstr>
  </property>
</Properties>
</file>