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06A7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55A29BD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A80FFA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4E51508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5FAC508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CCB972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FB3948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7D626956">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25</w:t>
      </w:r>
      <w:r>
        <w:rPr>
          <w:rFonts w:hint="eastAsia" w:ascii="仿宋_GB2312" w:hAnsi="仿宋_GB2312" w:eastAsia="仿宋_GB2312"/>
          <w:sz w:val="32"/>
        </w:rPr>
        <w:t>号</w:t>
      </w:r>
    </w:p>
    <w:p w14:paraId="685BB6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0FCFB1D1">
      <w:pPr>
        <w:numPr>
          <w:ilvl w:val="0"/>
          <w:numId w:val="0"/>
        </w:numPr>
        <w:jc w:val="center"/>
        <w:rPr>
          <w:rFonts w:hint="eastAsia" w:ascii="宋体" w:hAnsi="宋体" w:cs="宋体"/>
          <w:spacing w:val="20"/>
          <w:sz w:val="44"/>
          <w:szCs w:val="44"/>
          <w:lang w:val="en-US" w:eastAsia="zh-CN"/>
        </w:rPr>
      </w:pPr>
      <w:r>
        <w:rPr>
          <w:rFonts w:hint="eastAsia" w:ascii="宋体" w:hAnsi="宋体" w:eastAsia="宋体" w:cs="宋体"/>
          <w:spacing w:val="-11"/>
          <w:sz w:val="44"/>
          <w:szCs w:val="44"/>
          <w:lang w:val="en-US" w:eastAsia="zh-CN"/>
        </w:rPr>
        <w:t>关于聚宝雨水泵站及进水箱涵工程</w:t>
      </w:r>
      <w:r>
        <w:rPr>
          <w:rFonts w:hint="eastAsia" w:ascii="宋体" w:hAnsi="宋体" w:cs="宋体"/>
          <w:spacing w:val="-11"/>
          <w:sz w:val="44"/>
          <w:szCs w:val="44"/>
          <w:lang w:val="en-US" w:eastAsia="zh-CN"/>
        </w:rPr>
        <w:t>服务</w:t>
      </w:r>
      <w:r>
        <w:rPr>
          <w:rFonts w:hint="eastAsia" w:ascii="宋体" w:hAnsi="宋体" w:cs="宋体"/>
          <w:spacing w:val="20"/>
          <w:sz w:val="44"/>
          <w:szCs w:val="44"/>
          <w:lang w:val="en-US" w:eastAsia="zh-CN"/>
        </w:rPr>
        <w:t>性</w:t>
      </w:r>
    </w:p>
    <w:p w14:paraId="5222EDD7">
      <w:pPr>
        <w:numPr>
          <w:ilvl w:val="0"/>
          <w:numId w:val="0"/>
        </w:numPr>
        <w:jc w:val="center"/>
        <w:rPr>
          <w:rFonts w:hint="eastAsia" w:ascii="宋体" w:hAnsi="宋体" w:eastAsia="宋体" w:cs="宋体"/>
          <w:sz w:val="44"/>
          <w:szCs w:val="44"/>
          <w:lang w:val="en-US" w:eastAsia="zh-CN"/>
        </w:rPr>
      </w:pPr>
      <w:r>
        <w:rPr>
          <w:rFonts w:hint="eastAsia" w:ascii="宋体" w:hAnsi="宋体" w:cs="宋体"/>
          <w:spacing w:val="20"/>
          <w:sz w:val="44"/>
          <w:szCs w:val="44"/>
          <w:lang w:val="en-US" w:eastAsia="zh-CN"/>
        </w:rPr>
        <w:t>前期费</w:t>
      </w:r>
      <w:r>
        <w:rPr>
          <w:rFonts w:hint="eastAsia" w:ascii="宋体" w:hAnsi="宋体" w:eastAsia="宋体" w:cs="宋体"/>
          <w:sz w:val="44"/>
          <w:szCs w:val="44"/>
          <w:lang w:val="en-US" w:eastAsia="zh-CN"/>
        </w:rPr>
        <w:t>的评审意见</w:t>
      </w:r>
    </w:p>
    <w:p w14:paraId="37FBE6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7D73F1FD">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常德市融资核算中心：</w:t>
      </w:r>
    </w:p>
    <w:p w14:paraId="2EDCD2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受你中心委托，根据常德市西城新区投资建设开发有限公司送审资料，我中心对聚宝雨水泵站及进水箱涵工程服务性前期费进行了评价和审查。</w:t>
      </w:r>
    </w:p>
    <w:p w14:paraId="2184E0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779C1F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新河水系综合治理工程</w:t>
      </w:r>
      <w:r>
        <w:rPr>
          <w:rFonts w:hint="eastAsia" w:ascii="仿宋_GB2312" w:hAnsi="仿宋_GB2312" w:eastAsia="仿宋_GB2312" w:cs="仿宋_GB2312"/>
          <w:sz w:val="32"/>
          <w:szCs w:val="32"/>
        </w:rPr>
        <w:t>由市发</w:t>
      </w:r>
      <w:r>
        <w:rPr>
          <w:rFonts w:hint="eastAsia" w:ascii="仿宋_GB2312" w:hAnsi="仿宋_GB2312" w:eastAsia="仿宋_GB2312" w:cs="仿宋_GB2312"/>
          <w:sz w:val="32"/>
          <w:szCs w:val="32"/>
          <w:highlight w:val="none"/>
        </w:rPr>
        <w:t>改委常发改</w:t>
      </w:r>
      <w:r>
        <w:rPr>
          <w:rFonts w:hint="eastAsia" w:ascii="仿宋_GB2312" w:hAnsi="仿宋_GB2312" w:eastAsia="仿宋_GB2312" w:cs="仿宋_GB2312"/>
          <w:sz w:val="32"/>
          <w:szCs w:val="32"/>
          <w:highlight w:val="none"/>
          <w:lang w:val="en-US" w:eastAsia="zh-CN"/>
        </w:rPr>
        <w:t>农</w:t>
      </w:r>
      <w:r>
        <w:rPr>
          <w:rFonts w:hint="eastAsia" w:ascii="仿宋_GB2312" w:hAnsi="仿宋_GB2312" w:eastAsia="仿宋_GB2312" w:cs="仿宋_GB2312"/>
          <w:sz w:val="32"/>
          <w:szCs w:val="32"/>
          <w:highlight w:val="none"/>
        </w:rPr>
        <w:t>〔201</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588</w:t>
      </w:r>
      <w:r>
        <w:rPr>
          <w:rFonts w:hint="eastAsia" w:ascii="仿宋_GB2312" w:hAnsi="仿宋_GB2312" w:eastAsia="仿宋_GB2312" w:cs="仿宋_GB2312"/>
          <w:sz w:val="32"/>
          <w:szCs w:val="32"/>
          <w:highlight w:val="none"/>
        </w:rPr>
        <w:t>号文批复立项，</w:t>
      </w:r>
      <w:r>
        <w:rPr>
          <w:rFonts w:hint="eastAsia" w:ascii="仿宋_GB2312" w:hAnsi="仿宋_GB2312" w:eastAsia="仿宋_GB2312" w:cs="仿宋_GB2312"/>
          <w:sz w:val="32"/>
          <w:szCs w:val="32"/>
          <w:lang w:val="en-US" w:eastAsia="zh-CN"/>
        </w:rPr>
        <w:t>共包括七大工程：渠道拓宽工程、泵站工程、拦水坝工程、自流涵及引水闸工程、景观驳岸工程、堤顶交通衔接工程、城市排污工程，</w:t>
      </w:r>
      <w:r>
        <w:rPr>
          <w:rFonts w:hint="eastAsia" w:ascii="仿宋_GB2312" w:hAnsi="仿宋_GB2312" w:eastAsia="仿宋_GB2312" w:cs="仿宋_GB2312"/>
          <w:color w:val="auto"/>
          <w:sz w:val="32"/>
          <w:szCs w:val="32"/>
          <w:lang w:val="en-US" w:eastAsia="zh-CN"/>
        </w:rPr>
        <w:t>总投资估算218177.66万元，后增加岩坪机埠和新桥路桥等八座跨新河景观桥梁建设内容，由</w:t>
      </w:r>
      <w:r>
        <w:rPr>
          <w:rFonts w:hint="eastAsia" w:ascii="仿宋_GB2312" w:hAnsi="仿宋_GB2312" w:eastAsia="仿宋_GB2312" w:cs="仿宋_GB2312"/>
          <w:sz w:val="32"/>
          <w:szCs w:val="32"/>
          <w:highlight w:val="none"/>
        </w:rPr>
        <w:t>常发改</w:t>
      </w:r>
      <w:r>
        <w:rPr>
          <w:rFonts w:hint="eastAsia" w:ascii="仿宋_GB2312" w:hAnsi="仿宋_GB2312" w:eastAsia="仿宋_GB2312" w:cs="仿宋_GB2312"/>
          <w:sz w:val="32"/>
          <w:szCs w:val="32"/>
          <w:highlight w:val="none"/>
          <w:lang w:val="en-US" w:eastAsia="zh-CN"/>
        </w:rPr>
        <w:t>农</w:t>
      </w:r>
      <w:r>
        <w:rPr>
          <w:rFonts w:hint="eastAsia" w:ascii="仿宋_GB2312" w:hAnsi="仿宋_GB2312" w:eastAsia="仿宋_GB2312" w:cs="仿宋_GB2312"/>
          <w:sz w:val="32"/>
          <w:szCs w:val="32"/>
          <w:highlight w:val="none"/>
        </w:rPr>
        <w:t>〔201</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161</w:t>
      </w:r>
      <w:r>
        <w:rPr>
          <w:rFonts w:hint="eastAsia" w:ascii="仿宋_GB2312" w:hAnsi="仿宋_GB2312" w:eastAsia="仿宋_GB2312" w:cs="仿宋_GB2312"/>
          <w:sz w:val="32"/>
          <w:szCs w:val="32"/>
          <w:highlight w:val="none"/>
        </w:rPr>
        <w:t>号文批复</w:t>
      </w:r>
      <w:r>
        <w:rPr>
          <w:rFonts w:hint="eastAsia" w:ascii="仿宋_GB2312" w:hAnsi="仿宋_GB2312" w:eastAsia="仿宋_GB2312" w:cs="仿宋_GB2312"/>
          <w:sz w:val="32"/>
          <w:szCs w:val="32"/>
          <w:highlight w:val="none"/>
          <w:lang w:val="en-US" w:eastAsia="zh-CN"/>
        </w:rPr>
        <w:t>调整总投资为245233.09万元，聚宝雨水泵站为泵站工程的一部分</w:t>
      </w:r>
      <w:r>
        <w:rPr>
          <w:rFonts w:hint="eastAsia" w:ascii="仿宋_GB2312" w:hAnsi="仿宋_GB2312" w:eastAsia="仿宋_GB2312" w:cs="仿宋_GB2312"/>
          <w:color w:val="auto"/>
          <w:sz w:val="32"/>
          <w:szCs w:val="32"/>
          <w:lang w:val="en-US" w:eastAsia="zh-CN"/>
        </w:rPr>
        <w:t>。经常德市城镇带动大会战指挥部会议纪要</w:t>
      </w:r>
      <w:r>
        <w:rPr>
          <w:rFonts w:hint="eastAsia" w:ascii="仿宋_GB2312" w:hAnsi="仿宋_GB2312" w:eastAsia="仿宋_GB2312" w:cs="仿宋_GB2312"/>
          <w:color w:val="auto"/>
          <w:kern w:val="2"/>
          <w:sz w:val="32"/>
          <w:szCs w:val="32"/>
          <w:lang w:val="en-US" w:eastAsia="zh-CN" w:bidi="ar-SA"/>
        </w:rPr>
        <w:t>明确，进水箱涵纳入聚宝雨水泵站建设成本。</w:t>
      </w:r>
    </w:p>
    <w:p w14:paraId="7DEF15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066FD61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聚宝雨水泵站工程预算评审金额</w:t>
      </w:r>
      <w:r>
        <w:rPr>
          <w:rFonts w:hint="eastAsia" w:ascii="仿宋_GB2312" w:eastAsia="仿宋_GB2312"/>
          <w:sz w:val="32"/>
          <w:lang w:val="en-US" w:eastAsia="zh-CN"/>
        </w:rPr>
        <w:t>40927049</w:t>
      </w:r>
      <w:r>
        <w:rPr>
          <w:rFonts w:hint="eastAsia" w:ascii="仿宋_GB2312" w:hAnsi="仿宋_GB2312" w:eastAsia="仿宋_GB2312" w:cs="仿宋_GB2312"/>
          <w:sz w:val="32"/>
          <w:szCs w:val="32"/>
          <w:lang w:val="en-US" w:eastAsia="zh-CN"/>
        </w:rPr>
        <w:t>元（常财审</w:t>
      </w:r>
      <w:r>
        <w:rPr>
          <w:rFonts w:hint="eastAsia" w:ascii="仿宋_GB2312" w:hAnsi="仿宋_GB2312" w:eastAsia="仿宋_GB2312"/>
          <w:sz w:val="32"/>
        </w:rPr>
        <w:t>〔20</w:t>
      </w:r>
      <w:r>
        <w:rPr>
          <w:rFonts w:hint="eastAsia" w:ascii="仿宋_GB2312" w:hAnsi="仿宋_GB2312" w:eastAsia="仿宋_GB2312"/>
          <w:sz w:val="32"/>
          <w:lang w:val="en-US" w:eastAsia="zh-CN"/>
        </w:rPr>
        <w:t>14</w:t>
      </w:r>
      <w:r>
        <w:rPr>
          <w:rFonts w:hint="eastAsia" w:ascii="仿宋_GB2312" w:hAnsi="仿宋_GB2312" w:eastAsia="仿宋_GB2312"/>
          <w:sz w:val="32"/>
        </w:rPr>
        <w:t>〕</w:t>
      </w:r>
      <w:r>
        <w:rPr>
          <w:rFonts w:hint="eastAsia" w:ascii="仿宋_GB2312" w:hAnsi="仿宋_GB2312" w:eastAsia="仿宋_GB2312" w:cs="仿宋_GB2312"/>
          <w:sz w:val="32"/>
          <w:szCs w:val="32"/>
          <w:lang w:val="en-US" w:eastAsia="zh-CN"/>
        </w:rPr>
        <w:t>预字176号，其中工程费38978142元，不可预见费1948907元），结算评审金额55080988</w:t>
      </w:r>
      <w:r>
        <w:rPr>
          <w:rFonts w:hint="eastAsia" w:ascii="仿宋_GB2312" w:eastAsia="仿宋_GB2312"/>
          <w:sz w:val="32"/>
          <w:szCs w:val="32"/>
        </w:rPr>
        <w:t>元</w:t>
      </w:r>
      <w:r>
        <w:rPr>
          <w:rFonts w:hint="eastAsia" w:ascii="仿宋_GB2312" w:hAnsi="仿宋_GB2312" w:eastAsia="仿宋_GB2312" w:cs="仿宋_GB2312"/>
          <w:sz w:val="32"/>
          <w:szCs w:val="32"/>
          <w:lang w:val="en-US" w:eastAsia="zh-CN"/>
        </w:rPr>
        <w:t>(常审投报</w:t>
      </w:r>
      <w:r>
        <w:rPr>
          <w:rFonts w:hint="eastAsia" w:ascii="仿宋_GB2312" w:hAnsi="仿宋_GB2312" w:eastAsia="仿宋_GB2312"/>
          <w:sz w:val="32"/>
        </w:rPr>
        <w:t>〔20</w:t>
      </w:r>
      <w:r>
        <w:rPr>
          <w:rFonts w:hint="eastAsia" w:ascii="仿宋_GB2312" w:hAnsi="仿宋_GB2312" w:eastAsia="仿宋_GB2312"/>
          <w:sz w:val="32"/>
          <w:lang w:val="en-US" w:eastAsia="zh-CN"/>
        </w:rPr>
        <w:t>19</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szCs w:val="32"/>
          <w:lang w:val="en-US" w:eastAsia="zh-CN"/>
        </w:rPr>
        <w:t>1号)；聚宝雨水泵站进水箱涵连通工程预算评审金额</w:t>
      </w:r>
      <w:r>
        <w:rPr>
          <w:rFonts w:hint="eastAsia" w:ascii="仿宋_GB2312" w:eastAsia="仿宋_GB2312"/>
          <w:sz w:val="32"/>
          <w:lang w:val="en-US" w:eastAsia="zh-CN"/>
        </w:rPr>
        <w:t>15965244</w:t>
      </w:r>
      <w:r>
        <w:rPr>
          <w:rFonts w:hint="eastAsia" w:ascii="仿宋_GB2312" w:hAnsi="仿宋_GB2312" w:eastAsia="仿宋_GB2312" w:cs="仿宋_GB2312"/>
          <w:sz w:val="32"/>
          <w:szCs w:val="32"/>
          <w:lang w:val="en-US" w:eastAsia="zh-CN"/>
        </w:rPr>
        <w:t>元（常财审</w:t>
      </w:r>
      <w:r>
        <w:rPr>
          <w:rFonts w:hint="eastAsia" w:ascii="仿宋_GB2312" w:hAnsi="仿宋_GB2312" w:eastAsia="仿宋_GB2312"/>
          <w:sz w:val="32"/>
        </w:rPr>
        <w:t>〔20</w:t>
      </w:r>
      <w:r>
        <w:rPr>
          <w:rFonts w:hint="eastAsia" w:ascii="仿宋_GB2312" w:hAnsi="仿宋_GB2312" w:eastAsia="仿宋_GB2312"/>
          <w:sz w:val="32"/>
          <w:lang w:val="en-US" w:eastAsia="zh-CN"/>
        </w:rPr>
        <w:t>17</w:t>
      </w:r>
      <w:r>
        <w:rPr>
          <w:rFonts w:hint="eastAsia" w:ascii="仿宋_GB2312" w:hAnsi="仿宋_GB2312" w:eastAsia="仿宋_GB2312"/>
          <w:sz w:val="32"/>
        </w:rPr>
        <w:t>〕</w:t>
      </w:r>
      <w:r>
        <w:rPr>
          <w:rFonts w:hint="eastAsia" w:ascii="仿宋_GB2312" w:hAnsi="仿宋_GB2312" w:eastAsia="仿宋_GB2312" w:cs="仿宋_GB2312"/>
          <w:sz w:val="32"/>
          <w:szCs w:val="32"/>
          <w:lang w:val="en-US" w:eastAsia="zh-CN"/>
        </w:rPr>
        <w:t>预字207号，其中工程费14476502元，不可预见费723825元，前期费764916元），结算评审金额16260799</w:t>
      </w:r>
      <w:r>
        <w:rPr>
          <w:rFonts w:hint="eastAsia" w:ascii="仿宋_GB2312" w:eastAsia="仿宋_GB2312"/>
          <w:sz w:val="32"/>
          <w:szCs w:val="32"/>
        </w:rPr>
        <w:t>元</w:t>
      </w:r>
      <w:r>
        <w:rPr>
          <w:rFonts w:hint="eastAsia" w:ascii="仿宋_GB2312" w:hAnsi="仿宋_GB2312" w:eastAsia="仿宋_GB2312" w:cs="仿宋_GB2312"/>
          <w:sz w:val="32"/>
          <w:szCs w:val="32"/>
          <w:lang w:val="en-US" w:eastAsia="zh-CN"/>
        </w:rPr>
        <w:t>(常审投报</w:t>
      </w:r>
      <w:r>
        <w:rPr>
          <w:rFonts w:hint="eastAsia" w:ascii="仿宋_GB2312" w:hAnsi="仿宋_GB2312" w:eastAsia="仿宋_GB2312"/>
          <w:sz w:val="32"/>
        </w:rPr>
        <w:t>〔20</w:t>
      </w:r>
      <w:r>
        <w:rPr>
          <w:rFonts w:hint="eastAsia" w:ascii="仿宋_GB2312" w:hAnsi="仿宋_GB2312" w:eastAsia="仿宋_GB2312"/>
          <w:sz w:val="32"/>
          <w:lang w:val="en-US" w:eastAsia="zh-CN"/>
        </w:rPr>
        <w:t>18</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szCs w:val="32"/>
          <w:lang w:val="en-US" w:eastAsia="zh-CN"/>
        </w:rPr>
        <w:t>35号)。</w:t>
      </w:r>
    </w:p>
    <w:p w14:paraId="4695EE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F40E272">
      <w:pPr>
        <w:pStyle w:val="7"/>
        <w:keepNext/>
        <w:keepLines/>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本次送审</w:t>
      </w:r>
      <w:r>
        <w:rPr>
          <w:rFonts w:hint="eastAsia" w:ascii="仿宋_GB2312" w:hAnsi="仿宋_GB2312" w:eastAsia="仿宋_GB2312" w:cs="仿宋_GB2312"/>
          <w:sz w:val="32"/>
          <w:szCs w:val="32"/>
          <w:lang w:val="en-US" w:eastAsia="zh-CN"/>
        </w:rPr>
        <w:t>聚宝雨水泵站及进水箱涵工程</w:t>
      </w:r>
      <w:r>
        <w:rPr>
          <w:rFonts w:hint="eastAsia" w:ascii="仿宋_GB2312" w:hAnsi="仿宋_GB2312" w:eastAsia="仿宋_GB2312" w:cs="仿宋_GB2312"/>
          <w:color w:val="auto"/>
          <w:sz w:val="32"/>
          <w:szCs w:val="32"/>
          <w:lang w:val="en-US" w:eastAsia="zh-CN"/>
        </w:rPr>
        <w:t>服务性</w:t>
      </w:r>
      <w:r>
        <w:rPr>
          <w:rFonts w:hint="eastAsia" w:ascii="仿宋_GB2312" w:hAnsi="仿宋_GB2312" w:eastAsia="仿宋_GB2312" w:cs="仿宋_GB2312"/>
          <w:sz w:val="32"/>
          <w:szCs w:val="32"/>
          <w:lang w:val="en-US" w:eastAsia="zh-CN"/>
        </w:rPr>
        <w:t>前期费，</w:t>
      </w:r>
      <w:r>
        <w:rPr>
          <w:rFonts w:hint="eastAsia" w:ascii="仿宋_GB2312" w:hAnsi="仿宋_GB2312" w:eastAsia="仿宋_GB2312" w:cs="仿宋_GB2312"/>
          <w:spacing w:val="-11"/>
          <w:sz w:val="32"/>
          <w:szCs w:val="32"/>
          <w:lang w:val="en-US" w:eastAsia="zh-CN"/>
        </w:rPr>
        <w:t>评审编号X202533号</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color w:val="auto"/>
          <w:sz w:val="32"/>
          <w:szCs w:val="32"/>
          <w:lang w:val="en-US" w:eastAsia="zh-CN"/>
        </w:rPr>
        <w:t>工程测绘费、监理费、施工图审查费、造价咨询费、建设单位管理费及第三方结算审核费。</w:t>
      </w:r>
    </w:p>
    <w:p w14:paraId="3BAE1D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kern w:val="2"/>
          <w:sz w:val="32"/>
          <w:szCs w:val="32"/>
          <w:lang w:val="en-US" w:eastAsia="zh-CN" w:bidi="ar-SA"/>
        </w:rPr>
        <w:t>四、</w:t>
      </w:r>
      <w:r>
        <w:rPr>
          <w:rFonts w:hint="eastAsia" w:ascii="黑体" w:hAnsi="黑体" w:eastAsia="黑体" w:cs="黑体"/>
          <w:b w:val="0"/>
          <w:bCs w:val="0"/>
          <w:color w:val="auto"/>
          <w:sz w:val="32"/>
          <w:szCs w:val="32"/>
          <w:lang w:val="en-US" w:eastAsia="zh-CN"/>
        </w:rPr>
        <w:t>存在的问题</w:t>
      </w:r>
    </w:p>
    <w:p w14:paraId="6BC748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1.调整监理费复杂系数；</w:t>
      </w:r>
    </w:p>
    <w:p w14:paraId="79DF6F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2.施工图审查费根据合同约定调整金额；</w:t>
      </w:r>
    </w:p>
    <w:p w14:paraId="6A6BA4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3.建设单位管理费以结算审定工程费为基数计算，</w:t>
      </w:r>
      <w:r>
        <w:rPr>
          <w:rFonts w:hint="eastAsia" w:ascii="仿宋_GB2312" w:hAnsi="仿宋_GB2312" w:eastAsia="仿宋_GB2312" w:cs="仿宋_GB2312"/>
          <w:color w:val="auto"/>
          <w:sz w:val="32"/>
          <w:szCs w:val="32"/>
          <w:lang w:val="en-US" w:eastAsia="zh-CN"/>
        </w:rPr>
        <w:t>按相关规定审减率超15%应同比例扣减建设单位管理费；</w:t>
      </w:r>
    </w:p>
    <w:p w14:paraId="471AA8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sz w:val="32"/>
          <w:szCs w:val="32"/>
          <w:lang w:val="en-US" w:eastAsia="zh-CN"/>
        </w:rPr>
        <w:t>4.第三方结算审核费根据评审审减率相应调整金额。</w:t>
      </w:r>
    </w:p>
    <w:p w14:paraId="3828DD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评审意见</w:t>
      </w:r>
    </w:p>
    <w:p w14:paraId="734C6DC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rPr>
      </w:pPr>
      <w:r>
        <w:rPr>
          <w:rFonts w:hint="eastAsia" w:ascii="仿宋_GB2312" w:hAnsi="仿宋" w:eastAsia="仿宋_GB2312" w:cs="Times New Roman"/>
          <w:color w:val="auto"/>
          <w:sz w:val="32"/>
          <w:szCs w:val="32"/>
          <w:lang w:val="zh-CN"/>
        </w:rPr>
        <w:t>该服务性前期费</w:t>
      </w:r>
      <w:r>
        <w:rPr>
          <w:rFonts w:hint="eastAsia" w:ascii="仿宋_GB2312" w:hAnsi="仿宋" w:eastAsia="仿宋_GB2312" w:cs="Times New Roman"/>
          <w:color w:val="auto"/>
          <w:sz w:val="32"/>
          <w:szCs w:val="32"/>
          <w:lang w:val="en-US" w:eastAsia="zh-CN"/>
        </w:rPr>
        <w:t>报</w:t>
      </w:r>
      <w:r>
        <w:rPr>
          <w:rFonts w:hint="eastAsia" w:ascii="仿宋_GB2312" w:hAnsi="仿宋" w:eastAsia="仿宋_GB2312" w:cs="Times New Roman"/>
          <w:color w:val="auto"/>
          <w:sz w:val="32"/>
          <w:szCs w:val="32"/>
          <w:lang w:val="zh-CN"/>
        </w:rPr>
        <w:t>送</w:t>
      </w:r>
      <w:r>
        <w:rPr>
          <w:rFonts w:hint="eastAsia" w:ascii="仿宋_GB2312" w:hAnsi="仿宋" w:eastAsia="仿宋_GB2312" w:cs="Times New Roman"/>
          <w:color w:val="auto"/>
          <w:sz w:val="32"/>
          <w:szCs w:val="32"/>
          <w:lang w:val="en-US" w:eastAsia="zh-CN"/>
        </w:rPr>
        <w:t>评</w:t>
      </w:r>
      <w:r>
        <w:rPr>
          <w:rFonts w:hint="eastAsia" w:ascii="仿宋_GB2312" w:hAnsi="仿宋" w:eastAsia="仿宋_GB2312" w:cs="Times New Roman"/>
          <w:color w:val="auto"/>
          <w:sz w:val="32"/>
          <w:szCs w:val="32"/>
          <w:lang w:val="zh-CN"/>
        </w:rPr>
        <w:t>审金额</w:t>
      </w:r>
      <w:r>
        <w:rPr>
          <w:rFonts w:hint="eastAsia" w:ascii="仿宋_GB2312" w:hAnsi="仿宋_GB2312" w:eastAsia="仿宋_GB2312" w:cs="仿宋_GB2312"/>
          <w:b w:val="0"/>
          <w:bCs w:val="0"/>
          <w:sz w:val="30"/>
          <w:szCs w:val="30"/>
          <w:highlight w:val="none"/>
          <w:lang w:val="en-US" w:eastAsia="zh-CN"/>
        </w:rPr>
        <w:t>（</w:t>
      </w:r>
      <w:r>
        <w:rPr>
          <w:rFonts w:hint="eastAsia" w:ascii="仿宋_GB2312" w:hAnsi="仿宋" w:eastAsia="仿宋_GB2312" w:cs="Times New Roman"/>
          <w:color w:val="auto"/>
          <w:sz w:val="32"/>
          <w:szCs w:val="32"/>
          <w:lang w:val="en-US" w:eastAsia="zh-CN"/>
        </w:rPr>
        <w:t>第三方审核金额）1840033</w:t>
      </w:r>
      <w:r>
        <w:rPr>
          <w:rFonts w:hint="eastAsia" w:ascii="仿宋_GB2312" w:hAnsi="仿宋_GB2312" w:eastAsia="仿宋_GB2312" w:cs="仿宋_GB2312"/>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金额</w:t>
      </w:r>
      <w:r>
        <w:rPr>
          <w:rFonts w:hint="eastAsia" w:ascii="仿宋_GB2312" w:hAnsi="仿宋_GB2312" w:eastAsia="仿宋_GB2312" w:cs="仿宋_GB2312"/>
          <w:sz w:val="32"/>
          <w:szCs w:val="32"/>
          <w:lang w:val="en-US" w:eastAsia="zh-CN"/>
        </w:rPr>
        <w:t>411401</w:t>
      </w:r>
      <w:r>
        <w:rPr>
          <w:rFonts w:hint="eastAsia" w:ascii="仿宋_GB2312" w:hAnsi="仿宋" w:eastAsia="仿宋_GB2312" w:cs="Times New Roman"/>
          <w:color w:val="auto"/>
          <w:sz w:val="32"/>
          <w:szCs w:val="32"/>
          <w:lang w:val="zh-CN" w:eastAsia="zh-CN"/>
        </w:rPr>
        <w:t>元（详见附表）。</w:t>
      </w:r>
    </w:p>
    <w:p w14:paraId="774025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六、</w:t>
      </w:r>
      <w:r>
        <w:rPr>
          <w:rFonts w:hint="eastAsia" w:ascii="黑体" w:hAnsi="黑体" w:eastAsia="黑体" w:cs="黑体"/>
          <w:b w:val="0"/>
          <w:bCs w:val="0"/>
          <w:sz w:val="32"/>
          <w:szCs w:val="32"/>
          <w:lang w:val="en-US" w:eastAsia="zh-CN"/>
        </w:rPr>
        <w:t>有关说明</w:t>
      </w:r>
    </w:p>
    <w:p w14:paraId="084633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1.根据送审资料显示，该工程全部服务性前期费已清理完毕。除本次已审结算费用外，</w:t>
      </w:r>
      <w:r>
        <w:rPr>
          <w:rFonts w:hint="eastAsia" w:ascii="仿宋_GB2312" w:hAnsi="仿宋_GB2312" w:eastAsia="仿宋_GB2312" w:cs="仿宋_GB2312"/>
          <w:b w:val="0"/>
          <w:bCs w:val="0"/>
          <w:color w:val="auto"/>
          <w:sz w:val="32"/>
          <w:szCs w:val="32"/>
          <w:lang w:val="en-US" w:eastAsia="zh-CN"/>
        </w:rPr>
        <w:t>聚宝雨水泵站的设计费、青苗补偿费、勘查勘探费、工程检测费（常规），进水箱涵的测绘费、设计费、造价咨询费、勘查勘探费、工程检测费（常规）</w:t>
      </w:r>
      <w:r>
        <w:rPr>
          <w:rFonts w:hint="eastAsia" w:ascii="仿宋_GB2312" w:hAnsi="仿宋_GB2312" w:eastAsia="仿宋_GB2312" w:cs="仿宋_GB2312"/>
          <w:b w:val="0"/>
          <w:bCs w:val="0"/>
          <w:color w:val="auto"/>
          <w:kern w:val="2"/>
          <w:sz w:val="32"/>
          <w:szCs w:val="32"/>
          <w:lang w:val="en-US" w:eastAsia="zh-CN" w:bidi="ar-SA"/>
        </w:rPr>
        <w:t>缺乏关键资料，本次未予送审；</w:t>
      </w:r>
    </w:p>
    <w:p w14:paraId="4B3ED5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本项目送审资料经项目单位整理收集、主管部门审核、资金管理科室签批，评审中心根据送审资料进行评价和审查，不对资料真实性和完整性、合规性等负责；</w:t>
      </w:r>
    </w:p>
    <w:p w14:paraId="3E95224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对纳入审计监督范围项目，</w:t>
      </w:r>
      <w:r>
        <w:rPr>
          <w:rFonts w:hint="eastAsia" w:ascii="仿宋_GB2312" w:eastAsia="仿宋_GB2312"/>
          <w:sz w:val="32"/>
          <w:szCs w:val="32"/>
          <w:highlight w:val="none"/>
          <w:lang w:val="en-US" w:eastAsia="zh-CN"/>
        </w:rPr>
        <w:t>业主</w:t>
      </w:r>
      <w:r>
        <w:rPr>
          <w:rFonts w:hint="eastAsia" w:ascii="仿宋_GB2312" w:eastAsia="仿宋_GB2312"/>
          <w:sz w:val="32"/>
          <w:szCs w:val="32"/>
          <w:highlight w:val="none"/>
        </w:rPr>
        <w:t>单位应及时将完整的结算竣工资料报送市审计局，并积极主动配合审计监督工作</w:t>
      </w:r>
      <w:r>
        <w:rPr>
          <w:rFonts w:hint="eastAsia" w:ascii="仿宋_GB2312" w:hAnsi="仿宋_GB2312" w:eastAsia="仿宋_GB2312" w:cs="仿宋_GB2312"/>
          <w:sz w:val="32"/>
          <w:szCs w:val="32"/>
          <w:lang w:val="en-US" w:eastAsia="zh-CN"/>
        </w:rPr>
        <w:t>，后续如因资料增加或缺失、内容变更造成的费用调整，由业主单位自行负责。</w:t>
      </w:r>
    </w:p>
    <w:p w14:paraId="0F3992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8C6ED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513745E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9E7AA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7C0AF2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0FFAE446">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lang w:eastAsia="zh-CN"/>
        </w:rPr>
      </w:pPr>
      <w:r>
        <w:rPr>
          <w:rFonts w:hint="eastAsia" w:ascii="仿宋_GB2312" w:hAnsi="仿宋" w:eastAsia="仿宋_GB2312"/>
          <w:sz w:val="32"/>
        </w:rPr>
        <w:t>常德市财政局投资评审中心</w:t>
      </w:r>
    </w:p>
    <w:p w14:paraId="37D7FBA6">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rPr>
      </w:pPr>
      <w:r>
        <w:rPr>
          <w:rFonts w:hint="eastAsia" w:ascii="仿宋_GB2312" w:hAnsi="仿宋" w:eastAsia="仿宋_GB2312"/>
          <w:color w:val="auto"/>
          <w:sz w:val="32"/>
          <w:szCs w:val="32"/>
          <w:lang w:val="en-US" w:eastAsia="zh-CN"/>
        </w:rPr>
        <w:t>2026</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月</w:t>
      </w:r>
      <w:r>
        <w:rPr>
          <w:rFonts w:hint="eastAsia" w:ascii="仿宋_GB2312" w:hAnsi="仿宋" w:eastAsia="仿宋_GB2312"/>
          <w:color w:val="auto"/>
          <w:sz w:val="32"/>
          <w:szCs w:val="32"/>
          <w:lang w:val="en-US" w:eastAsia="zh-CN"/>
        </w:rPr>
        <w:t>15</w:t>
      </w:r>
      <w:r>
        <w:rPr>
          <w:rFonts w:hint="eastAsia" w:ascii="仿宋_GB2312" w:hAnsi="仿宋" w:eastAsia="仿宋_GB2312"/>
          <w:color w:val="auto"/>
          <w:sz w:val="32"/>
          <w:szCs w:val="32"/>
        </w:rPr>
        <w:t>日</w:t>
      </w:r>
    </w:p>
    <w:p w14:paraId="323A20D8">
      <w:pPr>
        <w:numPr>
          <w:ilvl w:val="0"/>
          <w:numId w:val="0"/>
        </w:numPr>
        <w:rPr>
          <w:rFonts w:hint="eastAsia" w:ascii="仿宋_GB2312" w:hAnsi="仿宋_GB2312" w:eastAsia="仿宋_GB2312" w:cs="仿宋_GB2312"/>
          <w:sz w:val="32"/>
          <w:szCs w:val="32"/>
          <w:lang w:val="en-US" w:eastAsia="zh-CN"/>
        </w:rPr>
      </w:pPr>
    </w:p>
    <w:p w14:paraId="3C16B4C8">
      <w:pPr>
        <w:numPr>
          <w:ilvl w:val="0"/>
          <w:numId w:val="0"/>
        </w:numPr>
        <w:rPr>
          <w:rFonts w:hint="eastAsia" w:ascii="仿宋_GB2312" w:hAnsi="仿宋_GB2312" w:eastAsia="仿宋_GB2312" w:cs="仿宋_GB2312"/>
          <w:sz w:val="32"/>
          <w:szCs w:val="32"/>
          <w:lang w:val="en-US" w:eastAsia="zh-CN"/>
        </w:rPr>
      </w:pPr>
      <w:bookmarkStart w:id="0" w:name="_GoBack"/>
      <w:bookmarkEnd w:id="0"/>
    </w:p>
    <w:p w14:paraId="3E6C9313">
      <w:pPr>
        <w:numPr>
          <w:ilvl w:val="0"/>
          <w:numId w:val="0"/>
        </w:numPr>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附表</w:t>
      </w:r>
    </w:p>
    <w:tbl>
      <w:tblPr>
        <w:tblStyle w:val="4"/>
        <w:tblW w:w="9135" w:type="dxa"/>
        <w:jc w:val="center"/>
        <w:shd w:val="clear" w:color="auto" w:fill="auto"/>
        <w:tblLayout w:type="autofit"/>
        <w:tblCellMar>
          <w:top w:w="0" w:type="dxa"/>
          <w:left w:w="0" w:type="dxa"/>
          <w:bottom w:w="0" w:type="dxa"/>
          <w:right w:w="0" w:type="dxa"/>
        </w:tblCellMar>
      </w:tblPr>
      <w:tblGrid>
        <w:gridCol w:w="659"/>
        <w:gridCol w:w="2531"/>
        <w:gridCol w:w="2229"/>
        <w:gridCol w:w="1607"/>
        <w:gridCol w:w="2109"/>
      </w:tblGrid>
      <w:tr w14:paraId="6F1A9CAE">
        <w:tblPrEx>
          <w:shd w:val="clear" w:color="auto" w:fill="auto"/>
          <w:tblCellMar>
            <w:top w:w="0" w:type="dxa"/>
            <w:left w:w="0" w:type="dxa"/>
            <w:bottom w:w="0" w:type="dxa"/>
            <w:right w:w="0" w:type="dxa"/>
          </w:tblCellMar>
        </w:tblPrEx>
        <w:trPr>
          <w:trHeight w:val="1380" w:hRule="atLeast"/>
          <w:jc w:val="center"/>
        </w:trPr>
        <w:tc>
          <w:tcPr>
            <w:tcW w:w="9147" w:type="dxa"/>
            <w:gridSpan w:val="5"/>
            <w:tcBorders>
              <w:top w:val="nil"/>
              <w:left w:val="nil"/>
              <w:bottom w:val="nil"/>
              <w:right w:val="nil"/>
            </w:tcBorders>
            <w:shd w:val="clear" w:color="auto" w:fill="auto"/>
            <w:tcMar>
              <w:top w:w="15" w:type="dxa"/>
              <w:left w:w="15" w:type="dxa"/>
              <w:right w:w="15" w:type="dxa"/>
            </w:tcMar>
            <w:vAlign w:val="top"/>
          </w:tcPr>
          <w:p w14:paraId="3211BAF3">
            <w:pPr>
              <w:keepNext w:val="0"/>
              <w:keepLines w:val="0"/>
              <w:widowControl/>
              <w:suppressLineNumbers w:val="0"/>
              <w:jc w:val="center"/>
              <w:textAlignment w:val="top"/>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44"/>
                <w:szCs w:val="44"/>
                <w:u w:val="none"/>
                <w:lang w:val="en-US" w:eastAsia="zh-CN" w:bidi="ar"/>
              </w:rPr>
              <w:t>聚宝雨水泵站及进水箱涵工程服务性前期费</w:t>
            </w:r>
            <w:r>
              <w:rPr>
                <w:rFonts w:hint="eastAsia" w:ascii="宋体" w:hAnsi="宋体" w:eastAsia="宋体" w:cs="宋体"/>
                <w:i w:val="0"/>
                <w:color w:val="000000"/>
                <w:kern w:val="0"/>
                <w:sz w:val="44"/>
                <w:szCs w:val="44"/>
                <w:u w:val="none"/>
                <w:lang w:val="en-US" w:eastAsia="zh-CN" w:bidi="ar"/>
              </w:rPr>
              <w:br w:type="textWrapping"/>
            </w:r>
            <w:r>
              <w:rPr>
                <w:rFonts w:hint="eastAsia" w:ascii="宋体" w:hAnsi="宋体" w:eastAsia="宋体" w:cs="宋体"/>
                <w:i w:val="0"/>
                <w:color w:val="000000"/>
                <w:kern w:val="0"/>
                <w:sz w:val="44"/>
                <w:szCs w:val="44"/>
                <w:u w:val="none"/>
                <w:lang w:val="en-US" w:eastAsia="zh-CN" w:bidi="ar"/>
              </w:rPr>
              <w:t>发现问题情况汇总表</w:t>
            </w:r>
          </w:p>
        </w:tc>
      </w:tr>
      <w:tr w14:paraId="5D09E0D3">
        <w:tblPrEx>
          <w:tblCellMar>
            <w:top w:w="0" w:type="dxa"/>
            <w:left w:w="0" w:type="dxa"/>
            <w:bottom w:w="0" w:type="dxa"/>
            <w:right w:w="0" w:type="dxa"/>
          </w:tblCellMar>
        </w:tblPrEx>
        <w:trPr>
          <w:trHeight w:val="420" w:hRule="atLeast"/>
          <w:jc w:val="center"/>
        </w:trPr>
        <w:tc>
          <w:tcPr>
            <w:tcW w:w="9147" w:type="dxa"/>
            <w:gridSpan w:val="5"/>
            <w:tcBorders>
              <w:top w:val="nil"/>
              <w:left w:val="nil"/>
              <w:bottom w:val="nil"/>
              <w:right w:val="nil"/>
            </w:tcBorders>
            <w:shd w:val="clear" w:color="auto" w:fill="auto"/>
            <w:tcMar>
              <w:top w:w="15" w:type="dxa"/>
              <w:left w:w="15" w:type="dxa"/>
              <w:right w:w="15" w:type="dxa"/>
            </w:tcMar>
            <w:vAlign w:val="center"/>
          </w:tcPr>
          <w:p w14:paraId="1279511A">
            <w:pPr>
              <w:keepNext w:val="0"/>
              <w:keepLines w:val="0"/>
              <w:widowControl/>
              <w:suppressLineNumbers w:val="0"/>
              <w:jc w:val="right"/>
              <w:textAlignment w:val="center"/>
              <w:rPr>
                <w:rFonts w:ascii="仿宋_GB2312" w:hAnsi="Arial" w:eastAsia="仿宋_GB2312" w:cs="仿宋_GB2312"/>
                <w:i w:val="0"/>
                <w:color w:val="000000"/>
                <w:sz w:val="24"/>
                <w:szCs w:val="24"/>
                <w:u w:val="none"/>
              </w:rPr>
            </w:pPr>
            <w:r>
              <w:rPr>
                <w:rFonts w:hint="eastAsia" w:ascii="仿宋_GB2312" w:hAnsi="Arial" w:eastAsia="仿宋_GB2312" w:cs="仿宋_GB2312"/>
                <w:i w:val="0"/>
                <w:color w:val="000000"/>
                <w:kern w:val="0"/>
                <w:sz w:val="24"/>
                <w:szCs w:val="24"/>
                <w:u w:val="none"/>
                <w:lang w:val="en-US" w:eastAsia="zh-CN" w:bidi="ar"/>
              </w:rPr>
              <w:t>单位：元</w:t>
            </w:r>
          </w:p>
        </w:tc>
      </w:tr>
      <w:tr w14:paraId="02B3474B">
        <w:tblPrEx>
          <w:tblCellMar>
            <w:top w:w="0" w:type="dxa"/>
            <w:left w:w="0" w:type="dxa"/>
            <w:bottom w:w="0" w:type="dxa"/>
            <w:right w:w="0" w:type="dxa"/>
          </w:tblCellMar>
        </w:tblPrEx>
        <w:trPr>
          <w:trHeight w:val="68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FF14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序号</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4E3C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项目名称</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1699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报送评审金额</w:t>
            </w:r>
            <w:r>
              <w:rPr>
                <w:rFonts w:hint="eastAsia" w:ascii="仿宋_GB2312" w:hAnsi="仿宋_GB2312" w:eastAsia="仿宋_GB2312" w:cs="仿宋_GB2312"/>
                <w:b/>
                <w:i w:val="0"/>
                <w:color w:val="000000"/>
                <w:kern w:val="0"/>
                <w:sz w:val="24"/>
                <w:szCs w:val="24"/>
                <w:u w:val="none"/>
                <w:lang w:val="en-US" w:eastAsia="zh-CN" w:bidi="ar"/>
              </w:rPr>
              <w:br w:type="textWrapping"/>
            </w:r>
            <w:r>
              <w:rPr>
                <w:rFonts w:hint="eastAsia" w:ascii="仿宋_GB2312" w:hAnsi="仿宋_GB2312" w:eastAsia="仿宋_GB2312" w:cs="仿宋_GB2312"/>
                <w:b/>
                <w:i w:val="0"/>
                <w:color w:val="000000"/>
                <w:kern w:val="0"/>
                <w:sz w:val="24"/>
                <w:szCs w:val="24"/>
                <w:u w:val="none"/>
                <w:lang w:val="en-US" w:eastAsia="zh-CN" w:bidi="ar"/>
              </w:rPr>
              <w:t>（第三方审核金额）</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418E2">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评审发现问题金额</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2B4D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备  注</w:t>
            </w:r>
          </w:p>
        </w:tc>
      </w:tr>
      <w:tr w14:paraId="30610BE2">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AE61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72E4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拨地定桩、测图面积</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9F2A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12720</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F55C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9114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泵站（国土）</w:t>
            </w:r>
          </w:p>
        </w:tc>
      </w:tr>
      <w:tr w14:paraId="5E7B707D">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E0F4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057D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内业工日、清绘</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12AD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900</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1B37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90A5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泵站（国土）</w:t>
            </w:r>
          </w:p>
        </w:tc>
      </w:tr>
      <w:tr w14:paraId="7AB3E149">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A66F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E19D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地形图、二级导线、横断面</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C9E4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20715</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9746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41C9E">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泵站（规院）</w:t>
            </w:r>
          </w:p>
        </w:tc>
      </w:tr>
      <w:tr w14:paraId="3747B4F6">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2788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4</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4BA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监理费</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F4F29">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976227</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5E5D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-211276</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A52CB">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泵站及进水箱涵</w:t>
            </w:r>
          </w:p>
        </w:tc>
      </w:tr>
      <w:tr w14:paraId="3B4F5CB0">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EC74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5</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46B9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施工图审查费</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43121">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12500</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997E6">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-500</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8D7A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泵站</w:t>
            </w:r>
          </w:p>
        </w:tc>
      </w:tr>
      <w:tr w14:paraId="37410D70">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75430">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6</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AF82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造价咨询费</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3BC1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102854</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31E7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0</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3DC4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泵站</w:t>
            </w:r>
          </w:p>
        </w:tc>
      </w:tr>
      <w:tr w14:paraId="6A9969E1">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CFC9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7</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BB7D8">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建设单位管理费</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1E497">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711069</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7F22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-199577</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2C06A">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泵站及进水箱涵</w:t>
            </w:r>
          </w:p>
        </w:tc>
      </w:tr>
      <w:tr w14:paraId="342741F6">
        <w:tblPrEx>
          <w:tblCellMar>
            <w:top w:w="0" w:type="dxa"/>
            <w:left w:w="0" w:type="dxa"/>
            <w:bottom w:w="0" w:type="dxa"/>
            <w:right w:w="0" w:type="dxa"/>
          </w:tblCellMar>
        </w:tblPrEx>
        <w:trPr>
          <w:trHeight w:val="56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8A81C">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8</w:t>
            </w: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F426D">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第三方结算审核费</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473E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3048</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AC63">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-48</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52DA5F36">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r>
      <w:tr w14:paraId="626DD251">
        <w:tblPrEx>
          <w:tblCellMar>
            <w:top w:w="0" w:type="dxa"/>
            <w:left w:w="0" w:type="dxa"/>
            <w:bottom w:w="0" w:type="dxa"/>
            <w:right w:w="0" w:type="dxa"/>
          </w:tblCellMar>
        </w:tblPrEx>
        <w:trPr>
          <w:trHeight w:val="60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06EF5255">
            <w:pPr>
              <w:ind w:left="0" w:leftChars="0" w:right="0" w:rightChars="0" w:firstLine="0" w:firstLineChars="0"/>
              <w:jc w:val="center"/>
              <w:rPr>
                <w:rFonts w:hint="eastAsia" w:ascii="仿宋_GB2312" w:hAnsi="仿宋_GB2312" w:eastAsia="仿宋_GB2312" w:cs="仿宋_GB2312"/>
                <w:i w:val="0"/>
                <w:color w:val="000000"/>
                <w:sz w:val="24"/>
                <w:szCs w:val="24"/>
                <w:u w:val="none"/>
              </w:rPr>
            </w:pPr>
          </w:p>
        </w:tc>
        <w:tc>
          <w:tcPr>
            <w:tcW w:w="2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97CF4">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合  计</w:t>
            </w:r>
          </w:p>
        </w:tc>
        <w:tc>
          <w:tcPr>
            <w:tcW w:w="2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1274F">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1840033</w:t>
            </w:r>
          </w:p>
        </w:tc>
        <w:tc>
          <w:tcPr>
            <w:tcW w:w="1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87145">
            <w:pPr>
              <w:keepNext w:val="0"/>
              <w:keepLines w:val="0"/>
              <w:widowControl/>
              <w:suppressLineNumbers w:val="0"/>
              <w:ind w:left="0" w:leftChars="0" w:right="0" w:rightChars="0" w:firstLine="0" w:firstLineChars="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-411401</w:t>
            </w:r>
          </w:p>
        </w:tc>
        <w:tc>
          <w:tcPr>
            <w:tcW w:w="21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40EA4">
            <w:pPr>
              <w:ind w:left="0" w:leftChars="0" w:right="0" w:rightChars="0" w:firstLine="0" w:firstLineChars="0"/>
              <w:jc w:val="center"/>
              <w:rPr>
                <w:rFonts w:hint="eastAsia" w:ascii="仿宋_GB2312" w:hAnsi="仿宋_GB2312" w:eastAsia="仿宋_GB2312" w:cs="仿宋_GB2312"/>
                <w:b/>
                <w:i w:val="0"/>
                <w:color w:val="000000"/>
                <w:sz w:val="24"/>
                <w:szCs w:val="24"/>
                <w:u w:val="none"/>
              </w:rPr>
            </w:pPr>
          </w:p>
        </w:tc>
      </w:tr>
    </w:tbl>
    <w:p w14:paraId="0003E0DA">
      <w:pPr>
        <w:numPr>
          <w:ilvl w:val="0"/>
          <w:numId w:val="0"/>
        </w:numPr>
        <w:rPr>
          <w:rFonts w:hint="eastAsia" w:ascii="仿宋_GB2312" w:hAnsi="仿宋_GB2312" w:eastAsia="仿宋_GB2312" w:cs="仿宋_GB2312"/>
          <w:sz w:val="24"/>
          <w:szCs w:val="24"/>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4B4C4F1-6F23-48A7-B7D9-15D2C9BB5FD1}"/>
  </w:font>
  <w:font w:name="黑体">
    <w:panose1 w:val="02010609060101010101"/>
    <w:charset w:val="86"/>
    <w:family w:val="auto"/>
    <w:pitch w:val="default"/>
    <w:sig w:usb0="800002BF" w:usb1="38CF7CFA" w:usb2="00000016" w:usb3="00000000" w:csb0="00040001" w:csb1="00000000"/>
    <w:embedRegular r:id="rId2" w:fontKey="{3925B982-08DD-4025-8747-88A22A6F63F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E7D9C708-4B74-4C61-AB9D-036F90E847CF}"/>
  </w:font>
  <w:font w:name="仿宋">
    <w:panose1 w:val="02010609060101010101"/>
    <w:charset w:val="86"/>
    <w:family w:val="modern"/>
    <w:pitch w:val="default"/>
    <w:sig w:usb0="800002BF" w:usb1="38CF7CFA" w:usb2="00000016" w:usb3="00000000" w:csb0="00040001" w:csb1="00000000"/>
    <w:embedRegular r:id="rId4" w:fontKey="{98155440-F4F1-4EAC-B8F0-9235678188DF}"/>
  </w:font>
  <w:font w:name="方正仿宋_GB2312">
    <w:panose1 w:val="02000000000000000000"/>
    <w:charset w:val="86"/>
    <w:family w:val="auto"/>
    <w:pitch w:val="default"/>
    <w:sig w:usb0="A00002BF" w:usb1="184F6CFA" w:usb2="00000012" w:usb3="00000000" w:csb0="00040001" w:csb1="00000000"/>
    <w:embedRegular r:id="rId5" w:fontKey="{7BE6AAAE-5FC3-4A4F-8BF2-B11A47459A1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07050E"/>
    <w:rsid w:val="00E60A9C"/>
    <w:rsid w:val="016722DB"/>
    <w:rsid w:val="017D0D87"/>
    <w:rsid w:val="025E59CD"/>
    <w:rsid w:val="047A1208"/>
    <w:rsid w:val="047E3B0A"/>
    <w:rsid w:val="04B424D8"/>
    <w:rsid w:val="059574D8"/>
    <w:rsid w:val="05F960AE"/>
    <w:rsid w:val="077B3EEE"/>
    <w:rsid w:val="077D2F8B"/>
    <w:rsid w:val="07AE01D1"/>
    <w:rsid w:val="07C7691A"/>
    <w:rsid w:val="08043EBB"/>
    <w:rsid w:val="091E2FE2"/>
    <w:rsid w:val="09B47E91"/>
    <w:rsid w:val="0A9877F2"/>
    <w:rsid w:val="0B837947"/>
    <w:rsid w:val="0C101985"/>
    <w:rsid w:val="0C2B7461"/>
    <w:rsid w:val="0EF1718F"/>
    <w:rsid w:val="100004D8"/>
    <w:rsid w:val="10973F62"/>
    <w:rsid w:val="10A358BA"/>
    <w:rsid w:val="11CE6F68"/>
    <w:rsid w:val="122A36D2"/>
    <w:rsid w:val="12971BF6"/>
    <w:rsid w:val="135C1B7F"/>
    <w:rsid w:val="13BA7668"/>
    <w:rsid w:val="14E60F5C"/>
    <w:rsid w:val="154559EC"/>
    <w:rsid w:val="15C6171B"/>
    <w:rsid w:val="1715796D"/>
    <w:rsid w:val="172A60BA"/>
    <w:rsid w:val="177F5EDD"/>
    <w:rsid w:val="17AE4B35"/>
    <w:rsid w:val="18EB13E0"/>
    <w:rsid w:val="18FF3E6F"/>
    <w:rsid w:val="1A6C6F9C"/>
    <w:rsid w:val="1AA0726A"/>
    <w:rsid w:val="1B617D86"/>
    <w:rsid w:val="1CF9700D"/>
    <w:rsid w:val="1D4F1119"/>
    <w:rsid w:val="1DC217E9"/>
    <w:rsid w:val="1DFC0643"/>
    <w:rsid w:val="1E047E0B"/>
    <w:rsid w:val="1EBE4245"/>
    <w:rsid w:val="1FD61FB0"/>
    <w:rsid w:val="205F56A2"/>
    <w:rsid w:val="20792462"/>
    <w:rsid w:val="20F010E1"/>
    <w:rsid w:val="20F57B32"/>
    <w:rsid w:val="21B11194"/>
    <w:rsid w:val="22CE0BE4"/>
    <w:rsid w:val="22FA2903"/>
    <w:rsid w:val="22FC69B4"/>
    <w:rsid w:val="232407B4"/>
    <w:rsid w:val="26636786"/>
    <w:rsid w:val="273C2E13"/>
    <w:rsid w:val="27445B9D"/>
    <w:rsid w:val="27D51DC4"/>
    <w:rsid w:val="27DA4ABC"/>
    <w:rsid w:val="284670C5"/>
    <w:rsid w:val="29B92521"/>
    <w:rsid w:val="2AEB7627"/>
    <w:rsid w:val="2B5B551A"/>
    <w:rsid w:val="2CFF241A"/>
    <w:rsid w:val="2D0155F8"/>
    <w:rsid w:val="2D636E4D"/>
    <w:rsid w:val="2D9E0CCC"/>
    <w:rsid w:val="2F7853D6"/>
    <w:rsid w:val="2FA04C8F"/>
    <w:rsid w:val="2FB03F14"/>
    <w:rsid w:val="30472667"/>
    <w:rsid w:val="311A1408"/>
    <w:rsid w:val="31352ED9"/>
    <w:rsid w:val="323F56BD"/>
    <w:rsid w:val="32B22189"/>
    <w:rsid w:val="330B5317"/>
    <w:rsid w:val="33703F3E"/>
    <w:rsid w:val="340C3616"/>
    <w:rsid w:val="35045F4E"/>
    <w:rsid w:val="350F40E5"/>
    <w:rsid w:val="36383F87"/>
    <w:rsid w:val="36E8039D"/>
    <w:rsid w:val="371F0169"/>
    <w:rsid w:val="38754381"/>
    <w:rsid w:val="38B02AF1"/>
    <w:rsid w:val="3A96628B"/>
    <w:rsid w:val="3B363200"/>
    <w:rsid w:val="3D1D64EB"/>
    <w:rsid w:val="3DD02CCC"/>
    <w:rsid w:val="3F3A2EAA"/>
    <w:rsid w:val="40B7508E"/>
    <w:rsid w:val="43AB54A7"/>
    <w:rsid w:val="45F5394F"/>
    <w:rsid w:val="46BC184F"/>
    <w:rsid w:val="47254DA2"/>
    <w:rsid w:val="47584DBF"/>
    <w:rsid w:val="47913F7F"/>
    <w:rsid w:val="48152816"/>
    <w:rsid w:val="48572E11"/>
    <w:rsid w:val="48A3260F"/>
    <w:rsid w:val="48B91F24"/>
    <w:rsid w:val="48F61B39"/>
    <w:rsid w:val="49837F30"/>
    <w:rsid w:val="4B1F677D"/>
    <w:rsid w:val="4C830251"/>
    <w:rsid w:val="4CC27294"/>
    <w:rsid w:val="4D381888"/>
    <w:rsid w:val="4D8030EB"/>
    <w:rsid w:val="4DA8066B"/>
    <w:rsid w:val="4E4B5555"/>
    <w:rsid w:val="4F4A7CE2"/>
    <w:rsid w:val="4F7D5416"/>
    <w:rsid w:val="4F8356CE"/>
    <w:rsid w:val="513D15DF"/>
    <w:rsid w:val="51431A06"/>
    <w:rsid w:val="521524B3"/>
    <w:rsid w:val="54550B7D"/>
    <w:rsid w:val="547F2923"/>
    <w:rsid w:val="54DD333B"/>
    <w:rsid w:val="54EA3F8A"/>
    <w:rsid w:val="556C7D82"/>
    <w:rsid w:val="57412789"/>
    <w:rsid w:val="579307F4"/>
    <w:rsid w:val="58101BCB"/>
    <w:rsid w:val="585A661F"/>
    <w:rsid w:val="587F4837"/>
    <w:rsid w:val="5922354D"/>
    <w:rsid w:val="5A2C182C"/>
    <w:rsid w:val="5AB65211"/>
    <w:rsid w:val="5B3E331C"/>
    <w:rsid w:val="5B670CA6"/>
    <w:rsid w:val="5D2A2290"/>
    <w:rsid w:val="5DE8138C"/>
    <w:rsid w:val="5E0D5F47"/>
    <w:rsid w:val="5E5F6603"/>
    <w:rsid w:val="5F4E056A"/>
    <w:rsid w:val="5F8D5830"/>
    <w:rsid w:val="5FEF6571"/>
    <w:rsid w:val="60AB3CEB"/>
    <w:rsid w:val="60AC3B04"/>
    <w:rsid w:val="60B51595"/>
    <w:rsid w:val="61905B98"/>
    <w:rsid w:val="62F13D66"/>
    <w:rsid w:val="635527B8"/>
    <w:rsid w:val="638D1C65"/>
    <w:rsid w:val="63B46898"/>
    <w:rsid w:val="64114BC8"/>
    <w:rsid w:val="64EC07BF"/>
    <w:rsid w:val="65062EBE"/>
    <w:rsid w:val="65C27948"/>
    <w:rsid w:val="65D9560A"/>
    <w:rsid w:val="67080485"/>
    <w:rsid w:val="670A5EB1"/>
    <w:rsid w:val="679C705B"/>
    <w:rsid w:val="67BB2514"/>
    <w:rsid w:val="67D53B06"/>
    <w:rsid w:val="69405463"/>
    <w:rsid w:val="69C4239D"/>
    <w:rsid w:val="6A7618A7"/>
    <w:rsid w:val="6D0710CC"/>
    <w:rsid w:val="6DCB188D"/>
    <w:rsid w:val="6F8F04BD"/>
    <w:rsid w:val="7010704D"/>
    <w:rsid w:val="70F4671D"/>
    <w:rsid w:val="71691B86"/>
    <w:rsid w:val="7194102D"/>
    <w:rsid w:val="72EF1712"/>
    <w:rsid w:val="738404C0"/>
    <w:rsid w:val="73CC2B3F"/>
    <w:rsid w:val="73DB7DBE"/>
    <w:rsid w:val="73E87402"/>
    <w:rsid w:val="751566AD"/>
    <w:rsid w:val="75302AF4"/>
    <w:rsid w:val="760179A0"/>
    <w:rsid w:val="768B4C78"/>
    <w:rsid w:val="76D50FF8"/>
    <w:rsid w:val="779F3910"/>
    <w:rsid w:val="77D376CA"/>
    <w:rsid w:val="77E14EDB"/>
    <w:rsid w:val="7911459D"/>
    <w:rsid w:val="79527AD1"/>
    <w:rsid w:val="7A0870E6"/>
    <w:rsid w:val="7A64666A"/>
    <w:rsid w:val="7CF413A8"/>
    <w:rsid w:val="7D2A7B17"/>
    <w:rsid w:val="7D7931D9"/>
    <w:rsid w:val="7E4570CB"/>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11"/>
    <w:basedOn w:val="5"/>
    <w:qFormat/>
    <w:uiPriority w:val="0"/>
    <w:rPr>
      <w:rFonts w:hint="eastAsia" w:ascii="仿宋_GB2312" w:eastAsia="仿宋_GB2312" w:cs="仿宋_GB2312"/>
      <w:b/>
      <w:color w:val="000000"/>
      <w:sz w:val="22"/>
      <w:szCs w:val="22"/>
      <w:u w:val="none"/>
    </w:rPr>
  </w:style>
  <w:style w:type="character" w:customStyle="1" w:styleId="10">
    <w:name w:val="font01"/>
    <w:basedOn w:val="5"/>
    <w:qFormat/>
    <w:uiPriority w:val="0"/>
    <w:rPr>
      <w:rFonts w:hint="eastAsia" w:ascii="仿宋_GB2312" w:eastAsia="仿宋_GB2312" w:cs="仿宋_GB2312"/>
      <w:b/>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1229</Words>
  <Characters>1425</Characters>
  <Lines>0</Lines>
  <Paragraphs>0</Paragraphs>
  <TotalTime>3</TotalTime>
  <ScaleCrop>false</ScaleCrop>
  <LinksUpToDate>false</LinksUpToDate>
  <CharactersWithSpaces>1435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2026-01-15T02:49:00Z</cp:lastPrinted>
  <dcterms:modified xsi:type="dcterms:W3CDTF">2026-04-10T01:35:05Z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