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D896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128A1A0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4E71DF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2EAFB1B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5462C0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45B56C8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rPr>
      </w:pPr>
    </w:p>
    <w:p w14:paraId="2CB9AE5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仿宋_GB2312" w:hAnsi="仿宋_GB2312" w:eastAsia="仿宋_GB2312"/>
          <w:sz w:val="32"/>
          <w:szCs w:val="32"/>
        </w:rPr>
      </w:pPr>
    </w:p>
    <w:p w14:paraId="1277970C">
      <w:pPr>
        <w:jc w:val="center"/>
        <w:rPr>
          <w:rFonts w:ascii="仿宋_GB2312" w:hAnsi="仿宋_GB2312" w:eastAsia="仿宋_GB2312"/>
          <w:sz w:val="32"/>
        </w:rPr>
      </w:pPr>
      <w:r>
        <w:rPr>
          <w:rFonts w:hint="eastAsia" w:ascii="仿宋_GB2312" w:hAnsi="仿宋_GB2312" w:eastAsia="仿宋_GB2312"/>
          <w:sz w:val="32"/>
        </w:rPr>
        <w:t>常财审〔2026〕结字</w:t>
      </w:r>
      <w:r>
        <w:rPr>
          <w:rFonts w:hint="eastAsia" w:ascii="仿宋_GB2312" w:hAnsi="仿宋_GB2312" w:eastAsia="仿宋_GB2312"/>
          <w:sz w:val="32"/>
          <w:lang w:val="en-US" w:eastAsia="zh-CN"/>
        </w:rPr>
        <w:t>44</w:t>
      </w:r>
      <w:r>
        <w:rPr>
          <w:rFonts w:hint="eastAsia" w:ascii="仿宋_GB2312" w:hAnsi="仿宋_GB2312" w:eastAsia="仿宋_GB2312"/>
          <w:sz w:val="32"/>
        </w:rPr>
        <w:t>号</w:t>
      </w:r>
    </w:p>
    <w:p w14:paraId="7084EB5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cs="宋体"/>
          <w:spacing w:val="20"/>
          <w:sz w:val="44"/>
          <w:szCs w:val="44"/>
        </w:rPr>
      </w:pPr>
    </w:p>
    <w:p w14:paraId="66E77355">
      <w:pPr>
        <w:jc w:val="center"/>
        <w:rPr>
          <w:rFonts w:hint="eastAsia" w:asciiTheme="majorEastAsia" w:hAnsiTheme="majorEastAsia" w:eastAsiaTheme="majorEastAsia" w:cstheme="majorEastAsia"/>
          <w:spacing w:val="-11"/>
          <w:sz w:val="44"/>
          <w:szCs w:val="44"/>
        </w:rPr>
      </w:pPr>
      <w:r>
        <w:rPr>
          <w:rFonts w:hint="eastAsia" w:asciiTheme="majorEastAsia" w:hAnsiTheme="majorEastAsia" w:eastAsiaTheme="majorEastAsia" w:cstheme="majorEastAsia"/>
          <w:spacing w:val="-11"/>
          <w:sz w:val="44"/>
          <w:szCs w:val="44"/>
        </w:rPr>
        <w:t>关于太阳大道二期（S306-柳叶路）新建工程</w:t>
      </w:r>
    </w:p>
    <w:p w14:paraId="23F79AFF">
      <w:pPr>
        <w:jc w:val="center"/>
        <w:rPr>
          <w:rFonts w:asciiTheme="majorEastAsia" w:hAnsiTheme="majorEastAsia" w:eastAsiaTheme="majorEastAsia" w:cstheme="majorEastAsia"/>
          <w:sz w:val="44"/>
          <w:szCs w:val="44"/>
        </w:rPr>
      </w:pPr>
      <w:r>
        <w:rPr>
          <w:rFonts w:hint="eastAsia" w:asciiTheme="majorEastAsia" w:hAnsiTheme="majorEastAsia" w:eastAsiaTheme="majorEastAsia" w:cstheme="majorEastAsia"/>
          <w:spacing w:val="-11"/>
          <w:sz w:val="44"/>
          <w:szCs w:val="44"/>
        </w:rPr>
        <w:t>服务</w:t>
      </w:r>
      <w:r>
        <w:rPr>
          <w:rFonts w:hint="eastAsia" w:asciiTheme="majorEastAsia" w:hAnsiTheme="majorEastAsia" w:eastAsiaTheme="majorEastAsia" w:cstheme="majorEastAsia"/>
          <w:spacing w:val="20"/>
          <w:sz w:val="44"/>
          <w:szCs w:val="44"/>
        </w:rPr>
        <w:t>性前期费</w:t>
      </w:r>
      <w:r>
        <w:rPr>
          <w:rFonts w:hint="eastAsia" w:asciiTheme="majorEastAsia" w:hAnsiTheme="majorEastAsia" w:eastAsiaTheme="majorEastAsia" w:cstheme="majorEastAsia"/>
          <w:sz w:val="44"/>
          <w:szCs w:val="44"/>
        </w:rPr>
        <w:t>的评审意见</w:t>
      </w:r>
    </w:p>
    <w:p w14:paraId="73E0E4B7">
      <w:pPr>
        <w:spacing w:line="560" w:lineRule="exact"/>
        <w:ind w:firstLine="1600" w:firstLineChars="500"/>
        <w:rPr>
          <w:rFonts w:ascii="仿宋_GB2312" w:hAnsi="仿宋_GB2312" w:eastAsia="仿宋_GB2312" w:cs="仿宋_GB2312"/>
          <w:sz w:val="32"/>
          <w:szCs w:val="32"/>
        </w:rPr>
      </w:pPr>
    </w:p>
    <w:p w14:paraId="1C5266C4">
      <w:pPr>
        <w:spacing w:line="560" w:lineRule="exac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常德市融资核算中心：</w:t>
      </w:r>
    </w:p>
    <w:p w14:paraId="0CC92B6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受你科室委托，根据常德市海绵城市建设投资开发有限公司送审资料，我中心对太阳大道二期（S306-柳叶路）新建工程前期费进行了评价和审查。</w:t>
      </w:r>
    </w:p>
    <w:p w14:paraId="786A1F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项目立项批复情况</w:t>
      </w:r>
    </w:p>
    <w:p w14:paraId="365C4F02">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太阳大道（朗州路-洞庭大道）建设工程由市发改委</w:t>
      </w:r>
      <w:bookmarkStart w:id="0" w:name="OLE_LINK6"/>
      <w:bookmarkStart w:id="1" w:name="OLE_LINK5"/>
      <w:r>
        <w:rPr>
          <w:rFonts w:hint="eastAsia" w:ascii="仿宋_GB2312" w:hAnsi="仿宋_GB2312" w:eastAsia="仿宋_GB2312" w:cs="仿宋_GB2312"/>
          <w:sz w:val="32"/>
          <w:szCs w:val="32"/>
          <w:lang w:val="zh-CN"/>
        </w:rPr>
        <w:t>常发改投〔2009〕589号批复</w:t>
      </w:r>
      <w:bookmarkEnd w:id="0"/>
      <w:bookmarkEnd w:id="1"/>
      <w:r>
        <w:rPr>
          <w:rFonts w:hint="eastAsia" w:ascii="仿宋_GB2312" w:hAnsi="仿宋_GB2312" w:eastAsia="仿宋_GB2312" w:cs="仿宋_GB2312"/>
          <w:sz w:val="32"/>
          <w:szCs w:val="32"/>
          <w:lang w:val="zh-CN"/>
        </w:rPr>
        <w:t>立项，总批复金额为54324万元，其中工程费34124万元，征拆费12778万元，其它费7422万元，道路西起朗州北路，东至洞庭大道，全长5913米，道路等级为城市主干道。道路分三期建设，一期为朗州北路至S306，二期为S306至柳叶路，三期为柳叶路至洞庭大道。</w:t>
      </w:r>
    </w:p>
    <w:p w14:paraId="34CA260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二、项目已评审预结算情况（不含征拆）</w:t>
      </w:r>
    </w:p>
    <w:p w14:paraId="382C93E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二期工程预算评审金额76406861元（常财审〔2017〕预字488号，其中工程费72768439元，不可预见费3638422元）。主体工程未结算。</w:t>
      </w:r>
    </w:p>
    <w:p w14:paraId="01D9AB6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三、本次送审情况</w:t>
      </w:r>
    </w:p>
    <w:p w14:paraId="6CD911F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本次送审二期工程服务性前期费，评审编号X202555号。主要包括</w:t>
      </w:r>
      <w:bookmarkStart w:id="2" w:name="OLE_LINK12"/>
      <w:r>
        <w:rPr>
          <w:rFonts w:hint="eastAsia" w:ascii="仿宋_GB2312" w:hAnsi="仿宋_GB2312" w:eastAsia="仿宋_GB2312" w:cs="仿宋_GB2312"/>
          <w:sz w:val="32"/>
          <w:szCs w:val="32"/>
          <w:lang w:val="zh-CN"/>
        </w:rPr>
        <w:t>测绘费、房屋震损评估费及补偿费、造价咨询费、施工图审查费</w:t>
      </w:r>
      <w:bookmarkEnd w:id="2"/>
      <w:r>
        <w:rPr>
          <w:rFonts w:hint="eastAsia" w:ascii="仿宋_GB2312" w:hAnsi="仿宋_GB2312" w:eastAsia="仿宋_GB2312" w:cs="仿宋_GB2312"/>
          <w:sz w:val="32"/>
          <w:szCs w:val="32"/>
          <w:lang w:val="zh-CN"/>
        </w:rPr>
        <w:t>等。</w:t>
      </w:r>
    </w:p>
    <w:p w14:paraId="50CA169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四、存在的问题</w:t>
      </w:r>
    </w:p>
    <w:p w14:paraId="31B12E6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1、造价咨询费计费基数为预算评审工程费；</w:t>
      </w:r>
    </w:p>
    <w:p w14:paraId="5F839E66">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2、因初设批复概算工程费不明，现施工图审查费以预算审定工程费为基数乘以合同约定的优惠率计算。</w:t>
      </w:r>
    </w:p>
    <w:p w14:paraId="3CE0BBF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五、评审意见</w:t>
      </w:r>
    </w:p>
    <w:p w14:paraId="49FEA47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该服务性前期费</w:t>
      </w:r>
      <w:r>
        <w:rPr>
          <w:rFonts w:hint="eastAsia" w:ascii="仿宋_GB2312" w:hAnsi="仿宋_GB2312" w:eastAsia="仿宋_GB2312" w:cs="仿宋_GB2312"/>
          <w:sz w:val="32"/>
          <w:szCs w:val="32"/>
        </w:rPr>
        <w:t>报</w:t>
      </w:r>
      <w:r>
        <w:rPr>
          <w:rFonts w:hint="eastAsia" w:ascii="仿宋_GB2312" w:hAnsi="仿宋_GB2312" w:eastAsia="仿宋_GB2312" w:cs="仿宋_GB2312"/>
          <w:sz w:val="32"/>
          <w:szCs w:val="32"/>
          <w:lang w:val="zh-CN"/>
        </w:rPr>
        <w:t>送</w:t>
      </w:r>
      <w:r>
        <w:rPr>
          <w:rFonts w:hint="eastAsia" w:ascii="仿宋_GB2312" w:hAnsi="仿宋_GB2312" w:eastAsia="仿宋_GB2312" w:cs="仿宋_GB2312"/>
          <w:sz w:val="32"/>
          <w:szCs w:val="32"/>
        </w:rPr>
        <w:t>评</w:t>
      </w:r>
      <w:r>
        <w:rPr>
          <w:rFonts w:hint="eastAsia" w:ascii="仿宋_GB2312" w:hAnsi="仿宋_GB2312" w:eastAsia="仿宋_GB2312" w:cs="仿宋_GB2312"/>
          <w:sz w:val="32"/>
          <w:szCs w:val="32"/>
          <w:lang w:val="zh-CN"/>
        </w:rPr>
        <w:t>审金额</w:t>
      </w:r>
      <w:r>
        <w:rPr>
          <w:rFonts w:hint="eastAsia" w:ascii="仿宋_GB2312" w:hAnsi="仿宋_GB2312" w:eastAsia="仿宋_GB2312" w:cs="仿宋_GB2312"/>
          <w:sz w:val="32"/>
          <w:szCs w:val="32"/>
        </w:rPr>
        <w:t>（第三方审核金额）619789元，评审发现问题</w:t>
      </w:r>
      <w:r>
        <w:rPr>
          <w:rFonts w:hint="eastAsia" w:ascii="仿宋_GB2312" w:hAnsi="仿宋_GB2312" w:eastAsia="仿宋_GB2312" w:cs="仿宋_GB2312"/>
          <w:sz w:val="32"/>
          <w:szCs w:val="32"/>
          <w:lang w:val="zh-CN"/>
        </w:rPr>
        <w:t>金额</w:t>
      </w:r>
      <w:r>
        <w:rPr>
          <w:rFonts w:hint="eastAsia" w:ascii="仿宋_GB2312" w:hAnsi="仿宋_GB2312" w:eastAsia="仿宋_GB2312" w:cs="仿宋_GB2312"/>
          <w:sz w:val="32"/>
          <w:szCs w:val="32"/>
        </w:rPr>
        <w:t>10454</w:t>
      </w:r>
      <w:r>
        <w:rPr>
          <w:rFonts w:hint="eastAsia" w:ascii="仿宋_GB2312" w:hAnsi="仿宋_GB2312" w:eastAsia="仿宋_GB2312" w:cs="仿宋_GB2312"/>
          <w:sz w:val="32"/>
          <w:szCs w:val="32"/>
          <w:lang w:val="zh-CN"/>
        </w:rPr>
        <w:t>元（详见附表）。</w:t>
      </w:r>
    </w:p>
    <w:p w14:paraId="11CB4A38">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黑体" w:hAnsi="黑体" w:eastAsia="黑体" w:cs="黑体"/>
          <w:sz w:val="32"/>
          <w:szCs w:val="32"/>
        </w:rPr>
        <w:t xml:space="preserve">六、有关说明 </w:t>
      </w:r>
    </w:p>
    <w:p w14:paraId="6BAE4EA1">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rPr>
        <w:t xml:space="preserve"> </w:t>
      </w:r>
      <w:r>
        <w:rPr>
          <w:rFonts w:hint="eastAsia" w:ascii="仿宋_GB2312" w:hAnsi="仿宋_GB2312" w:eastAsia="仿宋_GB2312" w:cs="仿宋_GB2312"/>
          <w:sz w:val="32"/>
          <w:szCs w:val="32"/>
        </w:rPr>
        <w:t>因该工程主体未完成结算，故监理费和建设单位管理费无计算基数，本次未予送审；</w:t>
      </w:r>
    </w:p>
    <w:p w14:paraId="05E9B26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2.社会保险费如在工程费内计取，不得重复计算；</w:t>
      </w:r>
    </w:p>
    <w:p w14:paraId="2929C5F0">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根据送审资料显示，该工程全部服务性前期费已清理完毕，除本次已审结费用外，房屋震损检测鉴定费、勘察勘探费、工程测量费、工程检测费因成果文件缺失，征地拆迁工作小组工作经费不属评审范围，本次未予送审。</w:t>
      </w:r>
    </w:p>
    <w:p w14:paraId="50AFF96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4.本项目送审资料经项目单位整理收集、主管部门审核、资金管理科室签批，评审中心根据送审资料进行评价和审查，不对资料真实性和完整性、合规性等负责；</w:t>
      </w:r>
    </w:p>
    <w:p w14:paraId="01614E4B">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5.对纳入审计监督范围项目，业主单位应及时将完整的结算竣工资料报送市审计局，并积极主动配合审计监督工作，后续如因资料增加或缺失、内容变更造成的费用调整，由业主单位自行负责。</w:t>
      </w:r>
    </w:p>
    <w:p w14:paraId="5FC311E8">
      <w:pPr>
        <w:spacing w:line="560" w:lineRule="exact"/>
        <w:ind w:firstLine="640" w:firstLineChars="200"/>
        <w:rPr>
          <w:rFonts w:ascii="仿宋" w:hAnsi="仿宋" w:eastAsia="仿宋" w:cs="仿宋"/>
          <w:sz w:val="32"/>
          <w:szCs w:val="32"/>
        </w:rPr>
      </w:pPr>
    </w:p>
    <w:p w14:paraId="27DA4376">
      <w:pPr>
        <w:spacing w:line="560" w:lineRule="exact"/>
        <w:ind w:firstLine="640" w:firstLineChars="200"/>
        <w:rPr>
          <w:rFonts w:ascii="仿宋" w:hAnsi="仿宋" w:eastAsia="仿宋" w:cs="仿宋"/>
          <w:sz w:val="32"/>
          <w:szCs w:val="32"/>
        </w:rPr>
      </w:pPr>
    </w:p>
    <w:p w14:paraId="092C2E2E">
      <w:pPr>
        <w:spacing w:line="560" w:lineRule="exact"/>
        <w:ind w:firstLine="640" w:firstLineChars="200"/>
        <w:rPr>
          <w:rFonts w:ascii="仿宋" w:hAnsi="仿宋" w:eastAsia="仿宋" w:cs="仿宋"/>
          <w:sz w:val="32"/>
          <w:szCs w:val="32"/>
        </w:rPr>
      </w:pPr>
    </w:p>
    <w:p w14:paraId="6333BAA3">
      <w:pPr>
        <w:spacing w:line="560" w:lineRule="exact"/>
        <w:ind w:firstLine="640" w:firstLineChars="200"/>
        <w:rPr>
          <w:rFonts w:ascii="仿宋" w:hAnsi="仿宋" w:eastAsia="仿宋" w:cs="仿宋"/>
          <w:sz w:val="32"/>
          <w:szCs w:val="32"/>
        </w:rPr>
      </w:pPr>
      <w:bookmarkStart w:id="5" w:name="_GoBack"/>
      <w:bookmarkEnd w:id="5"/>
    </w:p>
    <w:p w14:paraId="5E268859">
      <w:pPr>
        <w:spacing w:line="560" w:lineRule="exact"/>
        <w:ind w:firstLine="640" w:firstLineChars="200"/>
        <w:rPr>
          <w:rFonts w:ascii="仿宋" w:hAnsi="仿宋" w:eastAsia="仿宋" w:cs="仿宋"/>
          <w:sz w:val="32"/>
          <w:szCs w:val="32"/>
        </w:rPr>
      </w:pPr>
    </w:p>
    <w:p w14:paraId="3FD6593B">
      <w:pPr>
        <w:spacing w:line="560" w:lineRule="exact"/>
        <w:ind w:firstLine="640" w:firstLineChars="200"/>
        <w:rPr>
          <w:rFonts w:ascii="仿宋" w:hAnsi="仿宋" w:eastAsia="仿宋" w:cs="仿宋"/>
          <w:sz w:val="32"/>
          <w:szCs w:val="32"/>
        </w:rPr>
      </w:pPr>
    </w:p>
    <w:p w14:paraId="6BE6DAFC">
      <w:pPr>
        <w:spacing w:line="560" w:lineRule="exact"/>
        <w:rPr>
          <w:rFonts w:ascii="仿宋" w:hAnsi="仿宋" w:eastAsia="仿宋" w:cs="仿宋"/>
          <w:sz w:val="32"/>
          <w:szCs w:val="32"/>
        </w:rPr>
      </w:pPr>
    </w:p>
    <w:p w14:paraId="5A2F648E">
      <w:pPr>
        <w:spacing w:line="560" w:lineRule="exact"/>
        <w:ind w:firstLine="640" w:firstLineChars="200"/>
        <w:rPr>
          <w:rFonts w:ascii="仿宋" w:hAnsi="仿宋" w:eastAsia="仿宋" w:cs="仿宋"/>
          <w:sz w:val="32"/>
          <w:szCs w:val="32"/>
        </w:rPr>
      </w:pPr>
    </w:p>
    <w:p w14:paraId="3D5612BF">
      <w:pPr>
        <w:pStyle w:val="7"/>
        <w:spacing w:line="560" w:lineRule="exact"/>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常德市财政局投资评审中心</w:t>
      </w:r>
    </w:p>
    <w:p w14:paraId="64F0190A">
      <w:pPr>
        <w:spacing w:line="560" w:lineRule="exact"/>
        <w:ind w:firstLine="6080" w:firstLineChars="19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p>
    <w:p w14:paraId="34CFE6FC">
      <w:pPr>
        <w:ind w:firstLine="640" w:firstLineChars="200"/>
        <w:rPr>
          <w:rFonts w:ascii="仿宋_GB2312" w:hAnsi="仿宋_GB2312" w:eastAsia="仿宋_GB2312" w:cs="仿宋_GB2312"/>
          <w:sz w:val="32"/>
          <w:szCs w:val="32"/>
        </w:rPr>
      </w:pPr>
    </w:p>
    <w:p w14:paraId="573165A2">
      <w:pPr>
        <w:rPr>
          <w:rFonts w:ascii="仿宋_GB2312" w:hAnsi="仿宋_GB2312" w:eastAsia="仿宋_GB2312" w:cs="仿宋_GB2312"/>
          <w:sz w:val="32"/>
          <w:szCs w:val="32"/>
        </w:rPr>
      </w:pPr>
    </w:p>
    <w:p w14:paraId="3DE034D7">
      <w:pPr>
        <w:rPr>
          <w:rFonts w:ascii="仿宋_GB2312" w:hAnsi="仿宋_GB2312" w:eastAsia="仿宋_GB2312" w:cs="仿宋_GB2312"/>
          <w:sz w:val="32"/>
          <w:szCs w:val="32"/>
        </w:rPr>
      </w:pPr>
    </w:p>
    <w:p w14:paraId="7AB2ABEB">
      <w:pPr>
        <w:rPr>
          <w:rFonts w:hint="eastAsia" w:ascii="仿宋_GB2312" w:hAnsi="仿宋_GB2312" w:eastAsia="仿宋_GB2312" w:cs="仿宋_GB2312"/>
          <w:sz w:val="32"/>
          <w:szCs w:val="32"/>
        </w:rPr>
      </w:pPr>
    </w:p>
    <w:p w14:paraId="6A823B30">
      <w:pPr>
        <w:rPr>
          <w:rFonts w:ascii="仿宋_GB2312" w:hAnsi="仿宋_GB2312" w:eastAsia="仿宋_GB2312" w:cs="仿宋_GB2312"/>
          <w:sz w:val="32"/>
          <w:szCs w:val="32"/>
        </w:rPr>
      </w:pPr>
    </w:p>
    <w:p w14:paraId="5703FEA5">
      <w:pPr>
        <w:rPr>
          <w:rFonts w:ascii="仿宋_GB2312" w:hAnsi="仿宋_GB2312" w:eastAsia="仿宋_GB2312" w:cs="仿宋_GB2312"/>
          <w:sz w:val="32"/>
          <w:szCs w:val="32"/>
        </w:rPr>
      </w:pPr>
      <w:r>
        <w:rPr>
          <w:rFonts w:hint="eastAsia" w:ascii="仿宋_GB2312" w:hAnsi="仿宋_GB2312" w:eastAsia="仿宋_GB2312" w:cs="仿宋_GB2312"/>
          <w:sz w:val="32"/>
          <w:szCs w:val="32"/>
        </w:rPr>
        <w:t>附表</w:t>
      </w:r>
    </w:p>
    <w:tbl>
      <w:tblPr>
        <w:tblStyle w:val="4"/>
        <w:tblW w:w="9160" w:type="dxa"/>
        <w:jc w:val="center"/>
        <w:tblLayout w:type="autofit"/>
        <w:tblCellMar>
          <w:top w:w="0" w:type="dxa"/>
          <w:left w:w="108" w:type="dxa"/>
          <w:bottom w:w="0" w:type="dxa"/>
          <w:right w:w="108" w:type="dxa"/>
        </w:tblCellMar>
      </w:tblPr>
      <w:tblGrid>
        <w:gridCol w:w="737"/>
        <w:gridCol w:w="2272"/>
        <w:gridCol w:w="2268"/>
        <w:gridCol w:w="1786"/>
        <w:gridCol w:w="2097"/>
      </w:tblGrid>
      <w:tr w14:paraId="3017D810">
        <w:tblPrEx>
          <w:tblCellMar>
            <w:top w:w="0" w:type="dxa"/>
            <w:left w:w="108" w:type="dxa"/>
            <w:bottom w:w="0" w:type="dxa"/>
            <w:right w:w="108" w:type="dxa"/>
          </w:tblCellMar>
        </w:tblPrEx>
        <w:trPr>
          <w:trHeight w:val="520" w:hRule="atLeast"/>
          <w:jc w:val="center"/>
        </w:trPr>
        <w:tc>
          <w:tcPr>
            <w:tcW w:w="9160" w:type="dxa"/>
            <w:gridSpan w:val="5"/>
            <w:tcBorders>
              <w:top w:val="nil"/>
              <w:left w:val="nil"/>
              <w:bottom w:val="nil"/>
              <w:right w:val="nil"/>
            </w:tcBorders>
            <w:shd w:val="clear" w:color="auto" w:fill="auto"/>
          </w:tcPr>
          <w:p w14:paraId="643F6B57">
            <w:pPr>
              <w:widowControl/>
              <w:jc w:val="center"/>
              <w:textAlignment w:val="top"/>
              <w:rPr>
                <w:rFonts w:ascii="宋体" w:hAnsi="宋体" w:eastAsia="宋体" w:cs="宋体"/>
                <w:color w:val="000000"/>
                <w:kern w:val="0"/>
                <w:sz w:val="44"/>
                <w:szCs w:val="44"/>
              </w:rPr>
            </w:pPr>
            <w:r>
              <w:rPr>
                <w:rFonts w:hint="eastAsia" w:ascii="宋体" w:hAnsi="宋体" w:eastAsia="宋体" w:cs="宋体"/>
                <w:color w:val="000000"/>
                <w:kern w:val="0"/>
                <w:sz w:val="44"/>
                <w:szCs w:val="44"/>
              </w:rPr>
              <w:t>太阳大道二期（S306-柳叶路）新建工程服务性</w:t>
            </w:r>
          </w:p>
          <w:p w14:paraId="789979E4">
            <w:pPr>
              <w:widowControl/>
              <w:jc w:val="center"/>
              <w:textAlignment w:val="top"/>
              <w:rPr>
                <w:rFonts w:ascii="宋体" w:hAnsi="宋体" w:eastAsia="宋体" w:cs="宋体"/>
                <w:color w:val="000000"/>
                <w:sz w:val="40"/>
                <w:szCs w:val="40"/>
              </w:rPr>
            </w:pPr>
            <w:r>
              <w:rPr>
                <w:rFonts w:hint="eastAsia" w:ascii="宋体" w:hAnsi="宋体" w:eastAsia="宋体" w:cs="宋体"/>
                <w:color w:val="000000"/>
                <w:kern w:val="0"/>
                <w:sz w:val="44"/>
                <w:szCs w:val="44"/>
              </w:rPr>
              <w:t>前期费发现问题情况汇总表</w:t>
            </w:r>
          </w:p>
        </w:tc>
      </w:tr>
      <w:tr w14:paraId="1642D157">
        <w:tblPrEx>
          <w:tblCellMar>
            <w:top w:w="0" w:type="dxa"/>
            <w:left w:w="108" w:type="dxa"/>
            <w:bottom w:w="0" w:type="dxa"/>
            <w:right w:w="108" w:type="dxa"/>
          </w:tblCellMar>
        </w:tblPrEx>
        <w:trPr>
          <w:trHeight w:val="420" w:hRule="atLeast"/>
          <w:jc w:val="center"/>
        </w:trPr>
        <w:tc>
          <w:tcPr>
            <w:tcW w:w="9160" w:type="dxa"/>
            <w:gridSpan w:val="5"/>
            <w:tcBorders>
              <w:top w:val="nil"/>
              <w:left w:val="nil"/>
              <w:bottom w:val="nil"/>
              <w:right w:val="nil"/>
            </w:tcBorders>
            <w:shd w:val="clear" w:color="auto" w:fill="auto"/>
            <w:vAlign w:val="center"/>
          </w:tcPr>
          <w:p w14:paraId="67809C35">
            <w:pPr>
              <w:widowControl/>
              <w:jc w:val="right"/>
              <w:textAlignment w:val="center"/>
              <w:rPr>
                <w:rFonts w:ascii="仿宋_GB2312" w:hAnsi="Arial" w:eastAsia="仿宋_GB2312" w:cs="仿宋_GB2312"/>
                <w:color w:val="000000"/>
                <w:sz w:val="24"/>
              </w:rPr>
            </w:pPr>
            <w:r>
              <w:rPr>
                <w:rFonts w:hint="eastAsia" w:ascii="仿宋_GB2312" w:hAnsi="Arial" w:eastAsia="仿宋_GB2312" w:cs="仿宋_GB2312"/>
                <w:color w:val="000000"/>
                <w:kern w:val="0"/>
                <w:sz w:val="24"/>
              </w:rPr>
              <w:t>单位：元</w:t>
            </w:r>
          </w:p>
        </w:tc>
      </w:tr>
      <w:tr w14:paraId="3800A02C">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F37CC">
            <w:pPr>
              <w:spacing w:line="360" w:lineRule="auto"/>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序号</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5A77">
            <w:pPr>
              <w:spacing w:line="360" w:lineRule="auto"/>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项目名称</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AD18">
            <w:pPr>
              <w:spacing w:line="360" w:lineRule="auto"/>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报送评审金额</w:t>
            </w:r>
            <w:r>
              <w:rPr>
                <w:rFonts w:hint="eastAsia" w:ascii="仿宋_GB2312" w:hAnsi="仿宋_GB2312" w:eastAsia="仿宋_GB2312" w:cs="仿宋_GB2312"/>
                <w:b/>
                <w:color w:val="000000"/>
                <w:sz w:val="24"/>
                <w:szCs w:val="24"/>
              </w:rPr>
              <w:br w:type="textWrapping"/>
            </w:r>
            <w:r>
              <w:rPr>
                <w:rFonts w:hint="eastAsia" w:ascii="仿宋_GB2312" w:hAnsi="仿宋_GB2312" w:eastAsia="仿宋_GB2312" w:cs="仿宋_GB2312"/>
                <w:b/>
                <w:color w:val="000000"/>
                <w:sz w:val="24"/>
                <w:szCs w:val="24"/>
              </w:rPr>
              <w:t>（第三方审核金额）</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C48F9">
            <w:pPr>
              <w:spacing w:line="360" w:lineRule="auto"/>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评审发现问题金额</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4BE9F">
            <w:pPr>
              <w:spacing w:line="360" w:lineRule="auto"/>
              <w:jc w:val="center"/>
              <w:rPr>
                <w:rFonts w:ascii="仿宋_GB2312" w:hAnsi="仿宋_GB2312" w:eastAsia="仿宋_GB2312" w:cs="仿宋_GB2312"/>
                <w:b/>
                <w:color w:val="000000"/>
                <w:sz w:val="24"/>
                <w:szCs w:val="24"/>
              </w:rPr>
            </w:pPr>
            <w:r>
              <w:rPr>
                <w:rFonts w:hint="eastAsia" w:ascii="仿宋_GB2312" w:hAnsi="仿宋_GB2312" w:eastAsia="仿宋_GB2312" w:cs="仿宋_GB2312"/>
                <w:b/>
                <w:color w:val="000000"/>
                <w:sz w:val="24"/>
                <w:szCs w:val="24"/>
              </w:rPr>
              <w:t>备 注</w:t>
            </w:r>
          </w:p>
        </w:tc>
      </w:tr>
      <w:tr w14:paraId="3104E804">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D3C2">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A4F9">
            <w:pPr>
              <w:widowControl/>
              <w:jc w:val="center"/>
              <w:textAlignment w:val="center"/>
              <w:rPr>
                <w:rFonts w:ascii="仿宋_GB2312" w:hAnsi="仿宋_GB2312" w:eastAsia="仿宋_GB2312" w:cs="仿宋_GB2312"/>
                <w:sz w:val="24"/>
                <w:szCs w:val="24"/>
              </w:rPr>
            </w:pPr>
            <w:r>
              <w:rPr>
                <w:rFonts w:ascii="仿宋_GB2312" w:hAnsi="仿宋_GB2312" w:eastAsia="仿宋_GB2312" w:cs="仿宋_GB2312"/>
                <w:sz w:val="24"/>
                <w:szCs w:val="24"/>
              </w:rPr>
              <w:t>测绘费</w:t>
            </w:r>
            <w:r>
              <w:rPr>
                <w:rFonts w:hint="eastAsia" w:ascii="仿宋_GB2312" w:hAnsi="仿宋_GB2312" w:eastAsia="仿宋_GB2312" w:cs="仿宋_GB2312"/>
                <w:sz w:val="24"/>
                <w:szCs w:val="24"/>
              </w:rPr>
              <w:t>（地籍测绘、拨地钉桩、建库图、算面积）</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1829">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262360</w:t>
            </w:r>
          </w:p>
        </w:tc>
        <w:tc>
          <w:tcPr>
            <w:tcW w:w="1786" w:type="dxa"/>
            <w:tcBorders>
              <w:top w:val="single" w:color="000000" w:sz="4" w:space="0"/>
              <w:left w:val="single" w:color="000000" w:sz="4" w:space="0"/>
              <w:bottom w:val="single" w:color="auto" w:sz="4" w:space="0"/>
              <w:right w:val="single" w:color="000000" w:sz="4" w:space="0"/>
            </w:tcBorders>
            <w:shd w:val="clear" w:color="auto" w:fill="auto"/>
            <w:vAlign w:val="center"/>
          </w:tcPr>
          <w:p w14:paraId="074AB902">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000000" w:sz="4" w:space="0"/>
              <w:left w:val="single" w:color="000000" w:sz="4" w:space="0"/>
              <w:bottom w:val="single" w:color="auto" w:sz="4" w:space="0"/>
              <w:right w:val="single" w:color="000000" w:sz="4" w:space="0"/>
            </w:tcBorders>
            <w:shd w:val="clear" w:color="auto" w:fill="auto"/>
            <w:vAlign w:val="center"/>
          </w:tcPr>
          <w:p w14:paraId="3299C2D3">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太阳大道二期、三期，市国土测绘院</w:t>
            </w:r>
          </w:p>
        </w:tc>
      </w:tr>
      <w:tr w14:paraId="27C79D13">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1197">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4C66">
            <w:pPr>
              <w:widowControl/>
              <w:jc w:val="center"/>
              <w:textAlignment w:val="center"/>
              <w:rPr>
                <w:rFonts w:ascii="仿宋_GB2312" w:hAnsi="仿宋_GB2312" w:eastAsia="仿宋_GB2312" w:cs="仿宋_GB2312"/>
                <w:sz w:val="24"/>
                <w:szCs w:val="24"/>
              </w:rPr>
            </w:pPr>
            <w:r>
              <w:rPr>
                <w:rFonts w:ascii="仿宋_GB2312" w:hAnsi="仿宋_GB2312" w:eastAsia="仿宋_GB2312" w:cs="仿宋_GB2312"/>
                <w:sz w:val="24"/>
                <w:szCs w:val="24"/>
              </w:rPr>
              <w:t>测绘费</w:t>
            </w:r>
            <w:r>
              <w:rPr>
                <w:rFonts w:hint="eastAsia" w:ascii="仿宋_GB2312" w:hAnsi="仿宋_GB2312" w:eastAsia="仿宋_GB2312" w:cs="仿宋_GB2312"/>
                <w:sz w:val="24"/>
                <w:szCs w:val="24"/>
              </w:rPr>
              <w:t>（拨地钉桩、清绘图、内业工日）</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CAF5F">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11100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1E7B">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000000" w:sz="4" w:space="0"/>
              <w:left w:val="single" w:color="000000" w:sz="4" w:space="0"/>
              <w:bottom w:val="single" w:color="auto" w:sz="4" w:space="0"/>
              <w:right w:val="single" w:color="000000" w:sz="4" w:space="0"/>
            </w:tcBorders>
            <w:shd w:val="clear" w:color="auto" w:fill="auto"/>
            <w:vAlign w:val="center"/>
          </w:tcPr>
          <w:p w14:paraId="4C0D0F8A">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二期110KV线路临时用地</w:t>
            </w:r>
            <w:bookmarkStart w:id="3" w:name="OLE_LINK1"/>
            <w:bookmarkStart w:id="4" w:name="OLE_LINK2"/>
            <w:r>
              <w:rPr>
                <w:rFonts w:hint="eastAsia" w:ascii="仿宋_GB2312" w:hAnsi="仿宋_GB2312" w:eastAsia="仿宋_GB2312" w:cs="仿宋_GB2312"/>
                <w:sz w:val="24"/>
                <w:szCs w:val="24"/>
              </w:rPr>
              <w:t>、市国土测绘院</w:t>
            </w:r>
            <w:bookmarkEnd w:id="3"/>
            <w:bookmarkEnd w:id="4"/>
          </w:p>
        </w:tc>
      </w:tr>
      <w:tr w14:paraId="22817C96">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4CEF3">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4F7FA">
            <w:pPr>
              <w:widowControl/>
              <w:jc w:val="center"/>
              <w:textAlignment w:val="center"/>
              <w:rPr>
                <w:rFonts w:ascii="仿宋_GB2312" w:hAnsi="仿宋_GB2312" w:eastAsia="仿宋_GB2312" w:cs="仿宋_GB2312"/>
                <w:sz w:val="24"/>
                <w:szCs w:val="24"/>
              </w:rPr>
            </w:pPr>
            <w:r>
              <w:rPr>
                <w:rFonts w:ascii="仿宋_GB2312" w:hAnsi="仿宋_GB2312" w:eastAsia="仿宋_GB2312" w:cs="仿宋_GB2312"/>
                <w:sz w:val="24"/>
                <w:szCs w:val="24"/>
              </w:rPr>
              <w:t>测绘费</w:t>
            </w:r>
            <w:r>
              <w:rPr>
                <w:rFonts w:hint="eastAsia" w:ascii="仿宋_GB2312" w:hAnsi="仿宋_GB2312" w:eastAsia="仿宋_GB2312" w:cs="仿宋_GB2312"/>
                <w:sz w:val="24"/>
                <w:szCs w:val="24"/>
              </w:rPr>
              <w:t>（室内计算坐标点、清绘）</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D7C90">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2194</w:t>
            </w:r>
          </w:p>
        </w:tc>
        <w:tc>
          <w:tcPr>
            <w:tcW w:w="1786" w:type="dxa"/>
            <w:tcBorders>
              <w:top w:val="single" w:color="000000" w:sz="4" w:space="0"/>
              <w:left w:val="single" w:color="000000" w:sz="4" w:space="0"/>
              <w:bottom w:val="single" w:color="auto" w:sz="4" w:space="0"/>
              <w:right w:val="single" w:color="000000" w:sz="4" w:space="0"/>
            </w:tcBorders>
            <w:shd w:val="clear" w:color="auto" w:fill="auto"/>
            <w:vAlign w:val="center"/>
          </w:tcPr>
          <w:p w14:paraId="3DC19665">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auto" w:sz="4" w:space="0"/>
              <w:left w:val="single" w:color="000000" w:sz="4" w:space="0"/>
              <w:bottom w:val="single" w:color="auto" w:sz="4" w:space="0"/>
              <w:right w:val="single" w:color="000000" w:sz="4" w:space="0"/>
            </w:tcBorders>
            <w:shd w:val="clear" w:color="auto" w:fill="auto"/>
            <w:vAlign w:val="center"/>
          </w:tcPr>
          <w:p w14:paraId="1D939F93">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二期高坪头村红线外占水塘面积、市国土测绘院</w:t>
            </w:r>
          </w:p>
        </w:tc>
      </w:tr>
      <w:tr w14:paraId="638AFF51">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4E97">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BB9A7">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测绘费（室内计算坐标点、清绘）</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40B8F">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1940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F63A">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auto" w:sz="4" w:space="0"/>
              <w:left w:val="single" w:color="000000" w:sz="4" w:space="0"/>
              <w:bottom w:val="single" w:color="000000" w:sz="4" w:space="0"/>
              <w:right w:val="single" w:color="000000" w:sz="4" w:space="0"/>
            </w:tcBorders>
            <w:shd w:val="clear" w:color="auto" w:fill="auto"/>
            <w:vAlign w:val="center"/>
          </w:tcPr>
          <w:p w14:paraId="1EEAB169">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二期、三期办划拨手续、市国土测绘院</w:t>
            </w:r>
          </w:p>
        </w:tc>
      </w:tr>
      <w:tr w14:paraId="06BC8265">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33CFE">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D027">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造价咨询费</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CEFF5">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164029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76B43">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-2601</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2B82">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按合同约定计取</w:t>
            </w:r>
          </w:p>
        </w:tc>
      </w:tr>
      <w:tr w14:paraId="1B362B4F">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DFCB">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7B2A">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施工图审查费</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850F">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59582</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9AA4B">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-7853</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AFBD7">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湘价服〔2012〕76号、合同约定优惠20%</w:t>
            </w:r>
          </w:p>
        </w:tc>
      </w:tr>
      <w:tr w14:paraId="28268A28">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1D634">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321C">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房屋震损评估费</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6A3E4">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2000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8973D">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315CA">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按票面金额计取</w:t>
            </w:r>
          </w:p>
        </w:tc>
      </w:tr>
      <w:tr w14:paraId="3D2B1BCC">
        <w:tblPrEx>
          <w:tblCellMar>
            <w:top w:w="0" w:type="dxa"/>
            <w:left w:w="108" w:type="dxa"/>
            <w:bottom w:w="0" w:type="dxa"/>
            <w:right w:w="108" w:type="dxa"/>
          </w:tblCellMar>
        </w:tblPrEx>
        <w:trPr>
          <w:trHeight w:val="691"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tcPr>
          <w:p w14:paraId="56C3FB74">
            <w:pPr>
              <w:widowControl/>
              <w:jc w:val="center"/>
              <w:textAlignment w:val="center"/>
              <w:rPr>
                <w:rFonts w:ascii="仿宋_GB2312" w:hAnsi="仿宋_GB2312" w:eastAsia="仿宋_GB2312" w:cs="仿宋_GB2312"/>
                <w:sz w:val="24"/>
                <w:szCs w:val="24"/>
              </w:rPr>
            </w:pPr>
          </w:p>
          <w:p w14:paraId="4AE552BD">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A2C9">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朱金满房屋震损补偿费</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8D7E">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14767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B328F">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105C">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按票面金额计取</w:t>
            </w:r>
          </w:p>
        </w:tc>
      </w:tr>
      <w:tr w14:paraId="0910B05E">
        <w:tblPrEx>
          <w:tblCellMar>
            <w:top w:w="0" w:type="dxa"/>
            <w:left w:w="108" w:type="dxa"/>
            <w:bottom w:w="0" w:type="dxa"/>
            <w:right w:w="108" w:type="dxa"/>
          </w:tblCellMar>
        </w:tblPrEx>
        <w:trPr>
          <w:trHeight w:val="691"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tcPr>
          <w:p w14:paraId="7E07F84F">
            <w:pPr>
              <w:widowControl/>
              <w:jc w:val="center"/>
              <w:textAlignment w:val="center"/>
              <w:rPr>
                <w:rFonts w:ascii="仿宋_GB2312" w:hAnsi="仿宋_GB2312" w:eastAsia="仿宋_GB2312" w:cs="仿宋_GB2312"/>
                <w:sz w:val="24"/>
                <w:szCs w:val="24"/>
              </w:rPr>
            </w:pPr>
          </w:p>
          <w:p w14:paraId="1216C3F4">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3DB16">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兰枝云房屋震损补偿费</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853D8">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99580</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DB040">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E8F7D">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按票面金额计取</w:t>
            </w:r>
          </w:p>
        </w:tc>
      </w:tr>
      <w:tr w14:paraId="05CD35D2">
        <w:tblPrEx>
          <w:tblCellMar>
            <w:top w:w="0" w:type="dxa"/>
            <w:left w:w="108" w:type="dxa"/>
            <w:bottom w:w="0" w:type="dxa"/>
            <w:right w:w="108" w:type="dxa"/>
          </w:tblCellMar>
        </w:tblPrEx>
        <w:trPr>
          <w:trHeight w:val="691"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tcPr>
          <w:p w14:paraId="2E877283">
            <w:pPr>
              <w:widowControl/>
              <w:jc w:val="center"/>
              <w:textAlignment w:val="center"/>
              <w:rPr>
                <w:rFonts w:ascii="仿宋_GB2312" w:hAnsi="仿宋_GB2312" w:eastAsia="仿宋_GB2312" w:cs="仿宋_GB2312"/>
                <w:sz w:val="24"/>
                <w:szCs w:val="24"/>
              </w:rPr>
            </w:pPr>
          </w:p>
          <w:p w14:paraId="68C284F2">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C5E9">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第三方结算审核费</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EF7D">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2237</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5F3C">
            <w:pPr>
              <w:widowControl/>
              <w:jc w:val="center"/>
              <w:textAlignment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0</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21DF">
            <w:pPr>
              <w:widowControl/>
              <w:jc w:val="center"/>
              <w:textAlignment w:val="center"/>
              <w:rPr>
                <w:rFonts w:ascii="仿宋_GB2312" w:hAnsi="仿宋_GB2312" w:eastAsia="仿宋_GB2312" w:cs="仿宋_GB2312"/>
                <w:sz w:val="24"/>
                <w:szCs w:val="24"/>
              </w:rPr>
            </w:pPr>
          </w:p>
        </w:tc>
      </w:tr>
      <w:tr w14:paraId="3AD3D7A6">
        <w:tblPrEx>
          <w:tblCellMar>
            <w:top w:w="0" w:type="dxa"/>
            <w:left w:w="108" w:type="dxa"/>
            <w:bottom w:w="0" w:type="dxa"/>
            <w:right w:w="108" w:type="dxa"/>
          </w:tblCellMar>
        </w:tblPrEx>
        <w:trPr>
          <w:trHeight w:val="700" w:hRule="atLeast"/>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tcPr>
          <w:p w14:paraId="340EBA0E">
            <w:pPr>
              <w:widowControl/>
              <w:jc w:val="center"/>
              <w:textAlignment w:val="center"/>
              <w:rPr>
                <w:rFonts w:ascii="仿宋_GB2312" w:hAnsi="仿宋_GB2312" w:eastAsia="仿宋_GB2312" w:cs="仿宋_GB2312"/>
                <w:b/>
                <w:sz w:val="24"/>
                <w:szCs w:val="24"/>
              </w:rPr>
            </w:pPr>
          </w:p>
        </w:tc>
        <w:tc>
          <w:tcPr>
            <w:tcW w:w="22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414A">
            <w:pPr>
              <w:widowControl/>
              <w:jc w:val="center"/>
              <w:textAlignment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合  计</w:t>
            </w:r>
          </w:p>
        </w:tc>
        <w:tc>
          <w:tcPr>
            <w:tcW w:w="22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428D">
            <w:pPr>
              <w:widowControl/>
              <w:jc w:val="center"/>
              <w:textAlignment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619789</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80C0">
            <w:pPr>
              <w:widowControl/>
              <w:jc w:val="center"/>
              <w:textAlignment w:val="center"/>
              <w:rPr>
                <w:rFonts w:ascii="仿宋_GB2312" w:hAnsi="仿宋_GB2312" w:eastAsia="仿宋_GB2312" w:cs="仿宋_GB2312"/>
                <w:b/>
                <w:sz w:val="24"/>
                <w:szCs w:val="24"/>
              </w:rPr>
            </w:pPr>
            <w:r>
              <w:rPr>
                <w:rFonts w:hint="eastAsia" w:ascii="仿宋_GB2312" w:hAnsi="仿宋_GB2312" w:eastAsia="仿宋_GB2312" w:cs="仿宋_GB2312"/>
                <w:b/>
                <w:sz w:val="24"/>
                <w:szCs w:val="24"/>
              </w:rPr>
              <w:t>-10454</w:t>
            </w:r>
          </w:p>
        </w:tc>
        <w:tc>
          <w:tcPr>
            <w:tcW w:w="20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18AD">
            <w:pPr>
              <w:widowControl/>
              <w:jc w:val="center"/>
              <w:textAlignment w:val="center"/>
              <w:rPr>
                <w:rFonts w:ascii="仿宋_GB2312" w:hAnsi="仿宋_GB2312" w:eastAsia="仿宋_GB2312" w:cs="仿宋_GB2312"/>
                <w:b/>
                <w:sz w:val="24"/>
                <w:szCs w:val="24"/>
              </w:rPr>
            </w:pPr>
          </w:p>
        </w:tc>
      </w:tr>
    </w:tbl>
    <w:p w14:paraId="27D2919F">
      <w:pPr>
        <w:rPr>
          <w:rFonts w:ascii="仿宋" w:hAnsi="仿宋" w:eastAsia="仿宋" w:cs="仿宋"/>
          <w:b/>
          <w:sz w:val="24"/>
        </w:rPr>
      </w:pPr>
    </w:p>
    <w:sectPr>
      <w:pgSz w:w="11906" w:h="16838"/>
      <w:pgMar w:top="2154" w:right="1531" w:bottom="1440" w:left="1531" w:header="851" w:footer="992" w:gutter="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3F98207-D93A-4B51-B087-F5552F2108BC}"/>
  </w:font>
  <w:font w:name="黑体">
    <w:panose1 w:val="02010609060101010101"/>
    <w:charset w:val="86"/>
    <w:family w:val="auto"/>
    <w:pitch w:val="default"/>
    <w:sig w:usb0="800002BF" w:usb1="38CF7CFA" w:usb2="00000016" w:usb3="00000000" w:csb0="00040001" w:csb1="00000000"/>
    <w:embedRegular r:id="rId2" w:fontKey="{9616E3E4-A229-4A70-93F4-748109F2E2C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4CC567B0-06B0-4D1B-9800-67C82B6C48DD}"/>
  </w:font>
  <w:font w:name="仿宋">
    <w:panose1 w:val="02010609060101010101"/>
    <w:charset w:val="86"/>
    <w:family w:val="modern"/>
    <w:pitch w:val="default"/>
    <w:sig w:usb0="800002BF" w:usb1="38CF7CFA" w:usb2="00000016" w:usb3="00000000" w:csb0="00040001" w:csb1="00000000"/>
    <w:embedRegular r:id="rId4" w:fontKey="{0799A5A7-2E87-463B-B7AF-E2F71308E3B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5AB65211"/>
    <w:rsid w:val="00007EA2"/>
    <w:rsid w:val="00014B9B"/>
    <w:rsid w:val="000170B5"/>
    <w:rsid w:val="0003759F"/>
    <w:rsid w:val="00063D07"/>
    <w:rsid w:val="000861A7"/>
    <w:rsid w:val="00096661"/>
    <w:rsid w:val="000A5411"/>
    <w:rsid w:val="000A65E2"/>
    <w:rsid w:val="000B2FD6"/>
    <w:rsid w:val="000E3D0C"/>
    <w:rsid w:val="0010054A"/>
    <w:rsid w:val="00114EA3"/>
    <w:rsid w:val="00122801"/>
    <w:rsid w:val="00124983"/>
    <w:rsid w:val="001373CA"/>
    <w:rsid w:val="001620DD"/>
    <w:rsid w:val="001628E2"/>
    <w:rsid w:val="001659E6"/>
    <w:rsid w:val="001729A6"/>
    <w:rsid w:val="0017319B"/>
    <w:rsid w:val="00174904"/>
    <w:rsid w:val="001932FA"/>
    <w:rsid w:val="001C0A5B"/>
    <w:rsid w:val="001C282F"/>
    <w:rsid w:val="001F68BB"/>
    <w:rsid w:val="00203C5E"/>
    <w:rsid w:val="00205187"/>
    <w:rsid w:val="00205507"/>
    <w:rsid w:val="00211304"/>
    <w:rsid w:val="002735E8"/>
    <w:rsid w:val="00274C0E"/>
    <w:rsid w:val="002807C9"/>
    <w:rsid w:val="00285B59"/>
    <w:rsid w:val="002910D8"/>
    <w:rsid w:val="003221E4"/>
    <w:rsid w:val="00325397"/>
    <w:rsid w:val="00352F9B"/>
    <w:rsid w:val="003A567E"/>
    <w:rsid w:val="003A79C1"/>
    <w:rsid w:val="003C2080"/>
    <w:rsid w:val="003C51D2"/>
    <w:rsid w:val="003F1BE1"/>
    <w:rsid w:val="004064EF"/>
    <w:rsid w:val="00407552"/>
    <w:rsid w:val="00413552"/>
    <w:rsid w:val="00422643"/>
    <w:rsid w:val="0049137B"/>
    <w:rsid w:val="004A2839"/>
    <w:rsid w:val="004A4664"/>
    <w:rsid w:val="004B2F0B"/>
    <w:rsid w:val="004B5DA2"/>
    <w:rsid w:val="004C0E60"/>
    <w:rsid w:val="004C6526"/>
    <w:rsid w:val="004D4534"/>
    <w:rsid w:val="004D4BC5"/>
    <w:rsid w:val="004E6C41"/>
    <w:rsid w:val="005367B7"/>
    <w:rsid w:val="00552B3F"/>
    <w:rsid w:val="00553FD5"/>
    <w:rsid w:val="00556459"/>
    <w:rsid w:val="0055709B"/>
    <w:rsid w:val="005652FC"/>
    <w:rsid w:val="00577027"/>
    <w:rsid w:val="005903BF"/>
    <w:rsid w:val="005961B5"/>
    <w:rsid w:val="005A18CD"/>
    <w:rsid w:val="005A5B55"/>
    <w:rsid w:val="005A78DA"/>
    <w:rsid w:val="005B37C9"/>
    <w:rsid w:val="005B3B42"/>
    <w:rsid w:val="005E5306"/>
    <w:rsid w:val="005F48AA"/>
    <w:rsid w:val="0062224F"/>
    <w:rsid w:val="0062346D"/>
    <w:rsid w:val="00637E3F"/>
    <w:rsid w:val="00644913"/>
    <w:rsid w:val="0064600F"/>
    <w:rsid w:val="00652768"/>
    <w:rsid w:val="00667000"/>
    <w:rsid w:val="0067167A"/>
    <w:rsid w:val="00672CC2"/>
    <w:rsid w:val="00690B48"/>
    <w:rsid w:val="006A2234"/>
    <w:rsid w:val="006A33CA"/>
    <w:rsid w:val="006B6E0D"/>
    <w:rsid w:val="006D1361"/>
    <w:rsid w:val="006D22D2"/>
    <w:rsid w:val="006D3D61"/>
    <w:rsid w:val="006F53AC"/>
    <w:rsid w:val="006F5549"/>
    <w:rsid w:val="006F61ED"/>
    <w:rsid w:val="007220C1"/>
    <w:rsid w:val="00736DBE"/>
    <w:rsid w:val="00737982"/>
    <w:rsid w:val="00737DC7"/>
    <w:rsid w:val="00745FDC"/>
    <w:rsid w:val="007728BD"/>
    <w:rsid w:val="007901A2"/>
    <w:rsid w:val="00790B09"/>
    <w:rsid w:val="007B3C05"/>
    <w:rsid w:val="007B68F3"/>
    <w:rsid w:val="007C4D1A"/>
    <w:rsid w:val="007C7E88"/>
    <w:rsid w:val="00801C4F"/>
    <w:rsid w:val="00815FB0"/>
    <w:rsid w:val="00816768"/>
    <w:rsid w:val="008226CC"/>
    <w:rsid w:val="00827DDC"/>
    <w:rsid w:val="00837BEC"/>
    <w:rsid w:val="0084560E"/>
    <w:rsid w:val="00847701"/>
    <w:rsid w:val="00860EDE"/>
    <w:rsid w:val="008979C7"/>
    <w:rsid w:val="008A38C3"/>
    <w:rsid w:val="009045D1"/>
    <w:rsid w:val="00906219"/>
    <w:rsid w:val="0090699C"/>
    <w:rsid w:val="00911C99"/>
    <w:rsid w:val="0091671B"/>
    <w:rsid w:val="009431E3"/>
    <w:rsid w:val="009667B0"/>
    <w:rsid w:val="00975A4A"/>
    <w:rsid w:val="00981537"/>
    <w:rsid w:val="00985E1B"/>
    <w:rsid w:val="009E206C"/>
    <w:rsid w:val="00A16701"/>
    <w:rsid w:val="00A23624"/>
    <w:rsid w:val="00A309B5"/>
    <w:rsid w:val="00A37791"/>
    <w:rsid w:val="00A56BD4"/>
    <w:rsid w:val="00AC1A14"/>
    <w:rsid w:val="00AE26A0"/>
    <w:rsid w:val="00AE5C42"/>
    <w:rsid w:val="00B25EB9"/>
    <w:rsid w:val="00B313D9"/>
    <w:rsid w:val="00B82B29"/>
    <w:rsid w:val="00B95E18"/>
    <w:rsid w:val="00BC572A"/>
    <w:rsid w:val="00BD2A2C"/>
    <w:rsid w:val="00BD3152"/>
    <w:rsid w:val="00BE6A6F"/>
    <w:rsid w:val="00BE6E0E"/>
    <w:rsid w:val="00BE77B5"/>
    <w:rsid w:val="00BF322C"/>
    <w:rsid w:val="00C04055"/>
    <w:rsid w:val="00C11DDD"/>
    <w:rsid w:val="00C40431"/>
    <w:rsid w:val="00C51916"/>
    <w:rsid w:val="00C80968"/>
    <w:rsid w:val="00C90B69"/>
    <w:rsid w:val="00CE60ED"/>
    <w:rsid w:val="00CE6150"/>
    <w:rsid w:val="00CF0101"/>
    <w:rsid w:val="00CF17AA"/>
    <w:rsid w:val="00D11038"/>
    <w:rsid w:val="00D115E5"/>
    <w:rsid w:val="00D1400E"/>
    <w:rsid w:val="00D15DB4"/>
    <w:rsid w:val="00D2249D"/>
    <w:rsid w:val="00D225B7"/>
    <w:rsid w:val="00D9567F"/>
    <w:rsid w:val="00DF008C"/>
    <w:rsid w:val="00E446BA"/>
    <w:rsid w:val="00E60A9C"/>
    <w:rsid w:val="00E66CBB"/>
    <w:rsid w:val="00EC114F"/>
    <w:rsid w:val="00ED2FE5"/>
    <w:rsid w:val="00F331D9"/>
    <w:rsid w:val="00F426D7"/>
    <w:rsid w:val="00F466A6"/>
    <w:rsid w:val="00F63D31"/>
    <w:rsid w:val="00F64F38"/>
    <w:rsid w:val="00F72CD2"/>
    <w:rsid w:val="00F771AC"/>
    <w:rsid w:val="00F803F7"/>
    <w:rsid w:val="00FD5548"/>
    <w:rsid w:val="00FE7EE4"/>
    <w:rsid w:val="016722DB"/>
    <w:rsid w:val="073058AF"/>
    <w:rsid w:val="09B47E91"/>
    <w:rsid w:val="0A9877F2"/>
    <w:rsid w:val="0D1F336B"/>
    <w:rsid w:val="122A36D2"/>
    <w:rsid w:val="12971BF6"/>
    <w:rsid w:val="152F6F86"/>
    <w:rsid w:val="172A60BA"/>
    <w:rsid w:val="179426E5"/>
    <w:rsid w:val="18E33C2B"/>
    <w:rsid w:val="1E047E0B"/>
    <w:rsid w:val="1EBE4245"/>
    <w:rsid w:val="1FD61FB0"/>
    <w:rsid w:val="20054DEA"/>
    <w:rsid w:val="20D12980"/>
    <w:rsid w:val="233722E6"/>
    <w:rsid w:val="2CFF241A"/>
    <w:rsid w:val="2D636E4D"/>
    <w:rsid w:val="2FB03F14"/>
    <w:rsid w:val="30472667"/>
    <w:rsid w:val="30A210BB"/>
    <w:rsid w:val="31B567CE"/>
    <w:rsid w:val="32B22189"/>
    <w:rsid w:val="35441B38"/>
    <w:rsid w:val="37063266"/>
    <w:rsid w:val="3A2D56DA"/>
    <w:rsid w:val="3A3E63E3"/>
    <w:rsid w:val="40B7508E"/>
    <w:rsid w:val="41E82F93"/>
    <w:rsid w:val="44336900"/>
    <w:rsid w:val="45CF6468"/>
    <w:rsid w:val="47584DBF"/>
    <w:rsid w:val="49837F30"/>
    <w:rsid w:val="4A1B00BA"/>
    <w:rsid w:val="4C0D6FF1"/>
    <w:rsid w:val="4CC27294"/>
    <w:rsid w:val="4D8030EB"/>
    <w:rsid w:val="4F8356CE"/>
    <w:rsid w:val="513D15DF"/>
    <w:rsid w:val="54DD333B"/>
    <w:rsid w:val="54EA3F8A"/>
    <w:rsid w:val="58442ECB"/>
    <w:rsid w:val="58B4156E"/>
    <w:rsid w:val="591F21F1"/>
    <w:rsid w:val="5922354D"/>
    <w:rsid w:val="5AB65211"/>
    <w:rsid w:val="5E4A1F22"/>
    <w:rsid w:val="5E5F6603"/>
    <w:rsid w:val="60B51595"/>
    <w:rsid w:val="635527B8"/>
    <w:rsid w:val="638D1C65"/>
    <w:rsid w:val="65AB6ED0"/>
    <w:rsid w:val="65C27948"/>
    <w:rsid w:val="66CF32FB"/>
    <w:rsid w:val="6A7618A7"/>
    <w:rsid w:val="6F8F04BD"/>
    <w:rsid w:val="705804CB"/>
    <w:rsid w:val="74357CF4"/>
    <w:rsid w:val="77A63619"/>
    <w:rsid w:val="77D376CA"/>
    <w:rsid w:val="789E78B1"/>
    <w:rsid w:val="790939D1"/>
    <w:rsid w:val="79546BC7"/>
    <w:rsid w:val="7DCC7C79"/>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1212</Words>
  <Characters>1373</Characters>
  <Lines>10</Lines>
  <Paragraphs>3</Paragraphs>
  <TotalTime>149</TotalTime>
  <ScaleCrop>false</ScaleCrop>
  <LinksUpToDate>false</LinksUpToDate>
  <CharactersWithSpaces>1384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2026-01-22T10:21:00Z</cp:lastPrinted>
  <dcterms:modified xsi:type="dcterms:W3CDTF">2026-04-10T01:44:27Z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