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szCs w:val="32"/>
          <w14:textFill>
            <w14:solidFill>
              <w14:schemeClr w14:val="tx1"/>
            </w14:solidFill>
          </w14:textFill>
        </w:rPr>
      </w:pPr>
    </w:p>
    <w:p w14:paraId="09A58409">
      <w:pPr>
        <w:keepNext w:val="0"/>
        <w:keepLines w:val="0"/>
        <w:pageBreakBefore w:val="0"/>
        <w:widowControl w:val="0"/>
        <w:kinsoku/>
        <w:wordWrap/>
        <w:overflowPunct/>
        <w:topLinePunct w:val="0"/>
        <w:autoSpaceDE/>
        <w:autoSpaceDN/>
        <w:bidi w:val="0"/>
        <w:adjustRightInd/>
        <w:snapToGrid/>
        <w:spacing w:line="640" w:lineRule="atLeas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r>
        <w:rPr>
          <w:rFonts w:hint="eastAsia" w:ascii="仿宋_GB2312" w:hAnsi="仿宋_GB2312" w:eastAsia="仿宋_GB2312"/>
          <w:color w:val="000000" w:themeColor="text1"/>
          <w:sz w:val="32"/>
          <w14:textFill>
            <w14:solidFill>
              <w14:schemeClr w14:val="tx1"/>
            </w14:solidFill>
          </w14:textFill>
        </w:rPr>
        <w:t>常财审〔20</w:t>
      </w:r>
      <w:r>
        <w:rPr>
          <w:rFonts w:hint="eastAsia" w:ascii="仿宋_GB2312" w:hAnsi="仿宋_GB2312" w:eastAsia="仿宋_GB2312"/>
          <w:color w:val="000000" w:themeColor="text1"/>
          <w:sz w:val="32"/>
          <w:lang w:val="en-US" w:eastAsia="zh-CN"/>
          <w14:textFill>
            <w14:solidFill>
              <w14:schemeClr w14:val="tx1"/>
            </w14:solidFill>
          </w14:textFill>
        </w:rPr>
        <w:t>26</w:t>
      </w:r>
      <w:r>
        <w:rPr>
          <w:rFonts w:hint="eastAsia" w:ascii="仿宋_GB2312" w:hAnsi="仿宋_GB2312" w:eastAsia="仿宋_GB2312"/>
          <w:color w:val="000000" w:themeColor="text1"/>
          <w:sz w:val="32"/>
          <w14:textFill>
            <w14:solidFill>
              <w14:schemeClr w14:val="tx1"/>
            </w14:solidFill>
          </w14:textFill>
        </w:rPr>
        <w:t>〕结字</w:t>
      </w:r>
      <w:r>
        <w:rPr>
          <w:rFonts w:hint="eastAsia" w:ascii="仿宋_GB2312" w:hAnsi="仿宋_GB2312" w:eastAsia="仿宋_GB2312"/>
          <w:color w:val="000000" w:themeColor="text1"/>
          <w:sz w:val="32"/>
          <w:lang w:val="en-US" w:eastAsia="zh-CN"/>
          <w14:textFill>
            <w14:solidFill>
              <w14:schemeClr w14:val="tx1"/>
            </w14:solidFill>
          </w14:textFill>
        </w:rPr>
        <w:t>47</w:t>
      </w:r>
      <w:r>
        <w:rPr>
          <w:rFonts w:hint="eastAsia" w:ascii="仿宋_GB2312" w:hAnsi="仿宋_GB2312" w:eastAsia="仿宋_GB2312"/>
          <w:color w:val="000000" w:themeColor="text1"/>
          <w:sz w:val="32"/>
          <w14:textFill>
            <w14:solidFill>
              <w14:schemeClr w14:val="tx1"/>
            </w14:solidFill>
          </w14:textFill>
        </w:rPr>
        <w:t>号</w:t>
      </w:r>
    </w:p>
    <w:p w14:paraId="58A33A74">
      <w:pPr>
        <w:keepNext w:val="0"/>
        <w:keepLines w:val="0"/>
        <w:pageBreakBefore w:val="0"/>
        <w:widowControl w:val="0"/>
        <w:kinsoku/>
        <w:wordWrap/>
        <w:overflowPunct/>
        <w:topLinePunct w:val="0"/>
        <w:autoSpaceDE/>
        <w:autoSpaceDN/>
        <w:bidi w:val="0"/>
        <w:adjustRightInd/>
        <w:snapToGrid/>
        <w:spacing w:line="640" w:lineRule="atLeast"/>
        <w:ind w:left="0" w:leftChars="0" w:right="0" w:rightChars="0" w:firstLine="0" w:firstLineChars="0"/>
        <w:jc w:val="center"/>
        <w:textAlignment w:val="auto"/>
        <w:rPr>
          <w:rFonts w:hint="eastAsia" w:ascii="宋体" w:hAnsi="宋体" w:cs="宋体"/>
          <w:color w:val="000000" w:themeColor="text1"/>
          <w:spacing w:val="20"/>
          <w:sz w:val="44"/>
          <w:szCs w:val="44"/>
          <w14:textFill>
            <w14:solidFill>
              <w14:schemeClr w14:val="tx1"/>
            </w14:solidFill>
          </w14:textFill>
        </w:rPr>
      </w:pPr>
    </w:p>
    <w:p w14:paraId="6CB0E587">
      <w:pPr>
        <w:keepNext w:val="0"/>
        <w:keepLines w:val="0"/>
        <w:pageBreakBefore w:val="0"/>
        <w:widowControl w:val="0"/>
        <w:numPr>
          <w:ilvl w:val="0"/>
          <w:numId w:val="0"/>
        </w:numPr>
        <w:kinsoku/>
        <w:wordWrap/>
        <w:overflowPunct/>
        <w:topLinePunct w:val="0"/>
        <w:autoSpaceDE/>
        <w:autoSpaceDN/>
        <w:bidi w:val="0"/>
        <w:adjustRightInd/>
        <w:snapToGrid/>
        <w:spacing w:line="640" w:lineRule="atLeast"/>
        <w:jc w:val="center"/>
        <w:textAlignment w:val="auto"/>
        <w:rPr>
          <w:rFonts w:hint="eastAsia" w:ascii="宋体" w:hAnsi="宋体" w:eastAsia="宋体" w:cs="宋体"/>
          <w:color w:val="000000" w:themeColor="text1"/>
          <w:spacing w:val="20"/>
          <w:sz w:val="44"/>
          <w:szCs w:val="44"/>
          <w:lang w:val="en-US" w:eastAsia="zh-CN"/>
          <w14:textFill>
            <w14:solidFill>
              <w14:schemeClr w14:val="tx1"/>
            </w14:solidFill>
          </w14:textFill>
        </w:rPr>
      </w:pPr>
      <w:r>
        <w:rPr>
          <w:rFonts w:hint="eastAsia" w:ascii="宋体" w:hAnsi="宋体" w:eastAsia="宋体" w:cs="宋体"/>
          <w:color w:val="000000" w:themeColor="text1"/>
          <w:spacing w:val="-11"/>
          <w:sz w:val="44"/>
          <w:szCs w:val="44"/>
          <w:lang w:val="en-US" w:eastAsia="zh-CN"/>
          <w14:textFill>
            <w14:solidFill>
              <w14:schemeClr w14:val="tx1"/>
            </w14:solidFill>
          </w14:textFill>
        </w:rPr>
        <w:t>关于</w:t>
      </w:r>
      <w:r>
        <w:rPr>
          <w:rFonts w:hint="eastAsia" w:ascii="宋体" w:hAnsi="宋体" w:eastAsia="宋体" w:cs="宋体"/>
          <w:color w:val="000000" w:themeColor="text1"/>
          <w:spacing w:val="20"/>
          <w:sz w:val="44"/>
          <w:szCs w:val="44"/>
          <w:lang w:val="en-US" w:eastAsia="zh-CN"/>
          <w14:textFill>
            <w14:solidFill>
              <w14:schemeClr w14:val="tx1"/>
            </w14:solidFill>
          </w14:textFill>
        </w:rPr>
        <w:t>夏家垱水系二期综合治理工程服务性</w:t>
      </w:r>
    </w:p>
    <w:p w14:paraId="353E371F">
      <w:pPr>
        <w:keepNext w:val="0"/>
        <w:keepLines w:val="0"/>
        <w:pageBreakBefore w:val="0"/>
        <w:widowControl w:val="0"/>
        <w:numPr>
          <w:ilvl w:val="0"/>
          <w:numId w:val="0"/>
        </w:numPr>
        <w:kinsoku/>
        <w:wordWrap/>
        <w:overflowPunct/>
        <w:topLinePunct w:val="0"/>
        <w:autoSpaceDE/>
        <w:autoSpaceDN/>
        <w:bidi w:val="0"/>
        <w:adjustRightInd/>
        <w:snapToGrid/>
        <w:spacing w:line="640" w:lineRule="atLeast"/>
        <w:jc w:val="center"/>
        <w:textAlignment w:val="auto"/>
        <w:rPr>
          <w:rFonts w:hint="eastAsia" w:ascii="宋体" w:hAnsi="宋体" w:eastAsia="宋体" w:cs="宋体"/>
          <w:color w:val="000000" w:themeColor="text1"/>
          <w:sz w:val="44"/>
          <w:szCs w:val="44"/>
          <w:lang w:val="en-US" w:eastAsia="zh-CN"/>
          <w14:textFill>
            <w14:solidFill>
              <w14:schemeClr w14:val="tx1"/>
            </w14:solidFill>
          </w14:textFill>
        </w:rPr>
      </w:pPr>
      <w:r>
        <w:rPr>
          <w:rFonts w:hint="eastAsia" w:ascii="宋体" w:hAnsi="宋体" w:eastAsia="宋体" w:cs="宋体"/>
          <w:color w:val="000000" w:themeColor="text1"/>
          <w:spacing w:val="20"/>
          <w:sz w:val="44"/>
          <w:szCs w:val="44"/>
          <w:lang w:val="en-US" w:eastAsia="zh-CN"/>
          <w14:textFill>
            <w14:solidFill>
              <w14:schemeClr w14:val="tx1"/>
            </w14:solidFill>
          </w14:textFill>
        </w:rPr>
        <w:t>前期费</w:t>
      </w:r>
      <w:r>
        <w:rPr>
          <w:rFonts w:hint="eastAsia" w:ascii="宋体" w:hAnsi="宋体" w:eastAsia="宋体" w:cs="宋体"/>
          <w:color w:val="000000" w:themeColor="text1"/>
          <w:sz w:val="44"/>
          <w:szCs w:val="44"/>
          <w:lang w:val="en-US" w:eastAsia="zh-CN"/>
          <w14:textFill>
            <w14:solidFill>
              <w14:schemeClr w14:val="tx1"/>
            </w14:solidFill>
          </w14:textFill>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640" w:lineRule="atLeast"/>
        <w:ind w:firstLine="1600" w:firstLineChars="5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640" w:lineRule="atLeas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受你科室委托，根据常德市城投龙马建设项目管理有限公司送审资料，我中心对夏家垱水系二期综合治理工程服务性前期费进行了评价和审查。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w:t>
      </w:r>
      <w:r>
        <w:rPr>
          <w:rFonts w:hint="eastAsia" w:ascii="黑体" w:hAnsi="黑体" w:eastAsia="黑体" w:cs="黑体"/>
          <w:color w:val="000000" w:themeColor="text1"/>
          <w:sz w:val="32"/>
          <w:szCs w:val="32"/>
          <w:lang w:val="en-US" w:eastAsia="zh-CN"/>
          <w14:textFill>
            <w14:solidFill>
              <w14:schemeClr w14:val="tx1"/>
            </w14:solidFill>
          </w14:textFill>
        </w:rPr>
        <w:t>项目立项批复情况</w:t>
      </w:r>
    </w:p>
    <w:p w14:paraId="0EC9CE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常德市发改委常发改农〔2011〕723号文《关于常德市江北水系夏家垱河综合整治建设项目可行性研究报告的批复》，项目总批复金额为32697.33万元，其中工程费12964.89万元，工程建筑其他费16440.45万元（含征地拆迁12715.98万元），预备费用648.24万元，专项费用2643.75万元。夏家垱水系二期综合治理工程属于批复建设内容之一。</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w:t>
      </w:r>
      <w:r>
        <w:rPr>
          <w:rFonts w:hint="eastAsia" w:ascii="黑体" w:hAnsi="黑体" w:eastAsia="黑体" w:cs="黑体"/>
          <w:color w:val="000000" w:themeColor="text1"/>
          <w:sz w:val="32"/>
          <w:szCs w:val="32"/>
          <w:lang w:val="en-US" w:eastAsia="zh-CN"/>
          <w14:textFill>
            <w14:solidFill>
              <w14:schemeClr w14:val="tx1"/>
            </w14:solidFill>
          </w14:textFill>
        </w:rPr>
        <w:t>项目已评审预结算情况（不含征拆）</w:t>
      </w:r>
    </w:p>
    <w:p w14:paraId="76F1E8A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夏家垱水系二期综合治理工程预算评审共两个报告，①夏家垱水系二期综合治理主体评审金额为24991534元（常财审〔2016〕预字641号，其中工程费21764420元、不可预见费1088221元，前期费2138893元），②增补预算评审金额为2887146元（常财审〔2017〕预字266号，其中工程费2645966元、不可预见费132298元，前期费108881元）。主体工程结算评审金额为28805009元（常财审〔2020〕结字208号）。</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w:t>
      </w:r>
      <w:r>
        <w:rPr>
          <w:rFonts w:hint="eastAsia" w:ascii="黑体" w:hAnsi="黑体" w:eastAsia="黑体" w:cs="黑体"/>
          <w:color w:val="000000" w:themeColor="text1"/>
          <w:sz w:val="32"/>
          <w:szCs w:val="32"/>
          <w:lang w:val="en-US" w:eastAsia="zh-CN"/>
          <w14:textFill>
            <w14:solidFill>
              <w14:schemeClr w14:val="tx1"/>
            </w14:solidFill>
          </w14:textFill>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本次送审为夏家垱水系二期综合治理工程服务性前期费，</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评审编号X202536号，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主要包括造价咨询费、工程</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测绘费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、监理费、</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建设单位管理费及第三方结算审核费。</w:t>
      </w:r>
    </w:p>
    <w:p w14:paraId="198C58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kern w:val="2"/>
          <w:sz w:val="32"/>
          <w:szCs w:val="32"/>
          <w:lang w:val="en-US" w:eastAsia="zh-CN" w:bidi="ar-SA"/>
          <w14:textFill>
            <w14:solidFill>
              <w14:schemeClr w14:val="tx1"/>
            </w14:solidFill>
          </w14:textFill>
        </w:rPr>
        <w:t>四、</w:t>
      </w:r>
      <w:r>
        <w:rPr>
          <w:rFonts w:hint="eastAsia" w:ascii="黑体" w:hAnsi="黑体" w:eastAsia="黑体" w:cs="黑体"/>
          <w:b w:val="0"/>
          <w:bCs w:val="0"/>
          <w:color w:val="000000" w:themeColor="text1"/>
          <w:sz w:val="32"/>
          <w:szCs w:val="32"/>
          <w:lang w:val="en-US" w:eastAsia="zh-CN"/>
          <w14:textFill>
            <w14:solidFill>
              <w14:schemeClr w14:val="tx1"/>
            </w14:solidFill>
          </w14:textFill>
        </w:rPr>
        <w:t>存在的问题</w:t>
      </w:r>
    </w:p>
    <w:p w14:paraId="46A412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auto"/>
          <w:sz w:val="32"/>
          <w:szCs w:val="32"/>
          <w:lang w:val="en-US" w:eastAsia="zh-CN"/>
        </w:rPr>
        <w:t>建设单位管理费以结算审定工程费为基数计算，按相关规定审减率超15%应同比例扣减管理费</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w:t>
      </w:r>
    </w:p>
    <w:p w14:paraId="0589B3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2.</w:t>
      </w:r>
      <w:r>
        <w:rPr>
          <w:rFonts w:hint="eastAsia" w:ascii="仿宋_GB2312" w:hAnsi="仿宋_GB2312" w:eastAsia="仿宋_GB2312"/>
          <w:sz w:val="32"/>
          <w:szCs w:val="32"/>
          <w:lang w:eastAsia="zh-CN"/>
        </w:rPr>
        <w:t>第三方结算审核费根据评审审减率相应调整金额</w:t>
      </w:r>
      <w:r>
        <w:rPr>
          <w:rFonts w:hint="eastAsia" w:ascii="仿宋_GB2312" w:hAnsi="仿宋_GB2312" w:eastAsia="仿宋_GB2312" w:cs="仿宋_GB2312"/>
          <w:kern w:val="2"/>
          <w:sz w:val="32"/>
          <w:szCs w:val="32"/>
          <w:lang w:val="en-US" w:eastAsia="zh-CN" w:bidi="ar-SA"/>
        </w:rPr>
        <w:t>。</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五、</w:t>
      </w:r>
      <w:r>
        <w:rPr>
          <w:rFonts w:hint="eastAsia" w:ascii="黑体" w:hAnsi="黑体" w:eastAsia="黑体" w:cs="黑体"/>
          <w:color w:val="000000" w:themeColor="text1"/>
          <w:sz w:val="32"/>
          <w:szCs w:val="32"/>
          <w:lang w:val="en-US" w:eastAsia="zh-CN"/>
          <w14:textFill>
            <w14:solidFill>
              <w14:schemeClr w14:val="tx1"/>
            </w14:solidFill>
          </w14:textFill>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color w:val="auto"/>
        </w:rPr>
      </w:pPr>
      <w:r>
        <w:rPr>
          <w:rFonts w:hint="eastAsia" w:ascii="仿宋_GB2312" w:hAnsi="仿宋" w:eastAsia="仿宋_GB2312" w:cs="Times New Roman"/>
          <w:color w:val="auto"/>
          <w:sz w:val="32"/>
          <w:szCs w:val="32"/>
          <w:lang w:val="zh-CN"/>
        </w:rPr>
        <w:t>该服务性前期费</w:t>
      </w:r>
      <w:r>
        <w:rPr>
          <w:rFonts w:hint="eastAsia" w:ascii="仿宋_GB2312" w:hAnsi="仿宋" w:eastAsia="仿宋_GB2312" w:cs="Times New Roman"/>
          <w:color w:val="auto"/>
          <w:sz w:val="32"/>
          <w:szCs w:val="32"/>
          <w:lang w:val="en-US" w:eastAsia="zh-CN"/>
        </w:rPr>
        <w:t>报</w:t>
      </w:r>
      <w:r>
        <w:rPr>
          <w:rFonts w:hint="eastAsia" w:ascii="仿宋_GB2312" w:hAnsi="仿宋" w:eastAsia="仿宋_GB2312" w:cs="Times New Roman"/>
          <w:color w:val="auto"/>
          <w:sz w:val="32"/>
          <w:szCs w:val="32"/>
          <w:lang w:val="zh-CN"/>
        </w:rPr>
        <w:t>送</w:t>
      </w:r>
      <w:r>
        <w:rPr>
          <w:rFonts w:hint="eastAsia" w:ascii="仿宋_GB2312" w:hAnsi="仿宋" w:eastAsia="仿宋_GB2312" w:cs="Times New Roman"/>
          <w:color w:val="auto"/>
          <w:sz w:val="32"/>
          <w:szCs w:val="32"/>
          <w:lang w:val="en-US" w:eastAsia="zh-CN"/>
        </w:rPr>
        <w:t>评</w:t>
      </w:r>
      <w:r>
        <w:rPr>
          <w:rFonts w:hint="eastAsia" w:ascii="仿宋_GB2312" w:hAnsi="仿宋" w:eastAsia="仿宋_GB2312" w:cs="Times New Roman"/>
          <w:color w:val="auto"/>
          <w:sz w:val="32"/>
          <w:szCs w:val="32"/>
          <w:lang w:val="zh-CN"/>
        </w:rPr>
        <w:t>审金额</w:t>
      </w:r>
      <w:r>
        <w:rPr>
          <w:rFonts w:hint="eastAsia" w:ascii="仿宋_GB2312" w:hAnsi="仿宋_GB2312" w:eastAsia="仿宋_GB2312" w:cs="仿宋_GB2312"/>
          <w:b w:val="0"/>
          <w:bCs w:val="0"/>
          <w:color w:val="auto"/>
          <w:sz w:val="30"/>
          <w:szCs w:val="30"/>
          <w:highlight w:val="none"/>
          <w:lang w:val="en-US" w:eastAsia="zh-CN"/>
        </w:rPr>
        <w:t>（</w:t>
      </w:r>
      <w:r>
        <w:rPr>
          <w:rFonts w:hint="eastAsia" w:ascii="仿宋_GB2312" w:hAnsi="仿宋" w:eastAsia="仿宋_GB2312" w:cs="Times New Roman"/>
          <w:color w:val="auto"/>
          <w:sz w:val="32"/>
          <w:szCs w:val="32"/>
          <w:lang w:val="en-US" w:eastAsia="zh-CN"/>
        </w:rPr>
        <w:t>第三方审核金额）762292</w:t>
      </w:r>
      <w:r>
        <w:rPr>
          <w:rFonts w:hint="eastAsia" w:ascii="仿宋_GB2312" w:hAnsi="仿宋_GB2312" w:eastAsia="仿宋_GB2312" w:cs="仿宋_GB2312"/>
          <w:color w:val="auto"/>
          <w:sz w:val="32"/>
          <w:szCs w:val="32"/>
          <w:lang w:val="en-US" w:eastAsia="zh-CN"/>
        </w:rPr>
        <w:t>元</w:t>
      </w:r>
      <w:r>
        <w:rPr>
          <w:rFonts w:hint="eastAsia" w:ascii="仿宋_GB2312" w:hAnsi="仿宋" w:eastAsia="仿宋_GB2312" w:cs="Times New Roman"/>
          <w:color w:val="auto"/>
          <w:sz w:val="32"/>
          <w:szCs w:val="32"/>
          <w:lang w:val="en-US" w:eastAsia="zh-CN"/>
        </w:rPr>
        <w:t>，评审发现问题</w:t>
      </w:r>
      <w:r>
        <w:rPr>
          <w:rFonts w:hint="eastAsia" w:ascii="仿宋_GB2312" w:hAnsi="仿宋" w:eastAsia="仿宋_GB2312" w:cs="Times New Roman"/>
          <w:color w:val="auto"/>
          <w:sz w:val="32"/>
          <w:szCs w:val="32"/>
          <w:lang w:val="zh-CN" w:eastAsia="zh-CN"/>
        </w:rPr>
        <w:t>金额</w:t>
      </w:r>
      <w:r>
        <w:rPr>
          <w:rFonts w:hint="eastAsia" w:ascii="仿宋_GB2312" w:hAnsi="仿宋" w:eastAsia="仿宋_GB2312" w:cs="Times New Roman"/>
          <w:color w:val="auto"/>
          <w:sz w:val="32"/>
          <w:szCs w:val="32"/>
          <w:lang w:val="en-US" w:eastAsia="zh-CN"/>
        </w:rPr>
        <w:t>15550</w:t>
      </w:r>
      <w:r>
        <w:rPr>
          <w:rFonts w:hint="eastAsia" w:ascii="仿宋_GB2312" w:hAnsi="仿宋" w:eastAsia="仿宋_GB2312" w:cs="Times New Roman"/>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kern w:val="2"/>
          <w:sz w:val="32"/>
          <w:szCs w:val="32"/>
          <w:lang w:val="en-US" w:eastAsia="zh-CN" w:bidi="ar-SA"/>
          <w14:textFill>
            <w14:solidFill>
              <w14:schemeClr w14:val="tx1"/>
            </w14:solidFill>
          </w14:textFill>
        </w:rPr>
        <w:t>六、</w:t>
      </w:r>
      <w:r>
        <w:rPr>
          <w:rFonts w:hint="eastAsia" w:ascii="黑体" w:hAnsi="黑体" w:eastAsia="黑体" w:cs="黑体"/>
          <w:b w:val="0"/>
          <w:bCs w:val="0"/>
          <w:color w:val="000000" w:themeColor="text1"/>
          <w:sz w:val="32"/>
          <w:szCs w:val="32"/>
          <w:lang w:val="en-US" w:eastAsia="zh-CN"/>
          <w14:textFill>
            <w14:solidFill>
              <w14:schemeClr w14:val="tx1"/>
            </w14:solidFill>
          </w14:textFill>
        </w:rPr>
        <w:t>有关说明</w:t>
      </w:r>
    </w:p>
    <w:p w14:paraId="257652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right="0" w:rightChars="0" w:firstLine="640" w:firstLineChars="200"/>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1.规划局海绵城市改造工程虽经批示同意，与本工程一并实施，但建设费用（含前期费用）资金渠道来源不同，不属于本工程建设成本，现予以剔除，涉及金额67564元。</w:t>
      </w:r>
    </w:p>
    <w:p w14:paraId="22B164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right="0" w:rightChars="0"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2.根据常德市智慧谷投资发展有限公司《关于调整项目送审金额的请示》，送审金额由原768529元调整为762292元。</w:t>
      </w:r>
    </w:p>
    <w:p w14:paraId="44047C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3.该工程增补部分（常财审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〔2017〕</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预字266号）预算编制费未提供合同且未报送，本次未予计算。</w:t>
      </w:r>
    </w:p>
    <w:p w14:paraId="327F2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4.根据送审资料显示，该工程全部服务性前期费已清理完毕。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除本次已审结算费用外，环境影响报告编制费、水土保持方案编制费、可行性研究报告编制费及评审费、设计费、施工图审查费、勘查勘探费、工程测量费、检测费等因缺乏关键资料，本次未予送审</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。养老保险费已计入工程费总额。</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5.</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6.</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对纳入审计监督范围项目，</w:t>
      </w:r>
      <w:r>
        <w:rPr>
          <w:rFonts w:hint="eastAsia" w:ascii="仿宋_GB2312" w:eastAsia="仿宋_GB2312"/>
          <w:color w:val="000000" w:themeColor="text1"/>
          <w:sz w:val="32"/>
          <w:szCs w:val="32"/>
          <w:highlight w:val="none"/>
          <w:lang w:val="en-US" w:eastAsia="zh-CN"/>
          <w14:textFill>
            <w14:solidFill>
              <w14:schemeClr w14:val="tx1"/>
            </w14:solidFill>
          </w14:textFill>
        </w:rPr>
        <w:t>业主</w:t>
      </w:r>
      <w:r>
        <w:rPr>
          <w:rFonts w:hint="eastAsia" w:ascii="仿宋_GB2312" w:eastAsia="仿宋_GB2312"/>
          <w:color w:val="000000" w:themeColor="text1"/>
          <w:sz w:val="32"/>
          <w:szCs w:val="32"/>
          <w:highlight w:val="none"/>
          <w14:textFill>
            <w14:solidFill>
              <w14:schemeClr w14:val="tx1"/>
            </w14:solidFill>
          </w14:textFill>
        </w:rPr>
        <w:t>单位应及时将完整的结算竣工资料报送市审计局，并积极主动配合审计监督工作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，后续如因资料增加或缺失、内容变更造成的费用调整，由业主单位自行负责。</w:t>
      </w:r>
    </w:p>
    <w:p w14:paraId="557532CE">
      <w:pPr>
        <w:pStyle w:val="8"/>
        <w:keepNext w:val="0"/>
        <w:keepLines w:val="0"/>
        <w:pageBreakBefore w:val="0"/>
        <w:widowControl w:val="0"/>
        <w:kinsoku/>
        <w:wordWrap/>
        <w:overflowPunct/>
        <w:topLinePunct w:val="0"/>
        <w:autoSpaceDE/>
        <w:autoSpaceDN/>
        <w:bidi w:val="0"/>
        <w:adjustRightInd/>
        <w:snapToGrid/>
        <w:spacing w:line="640" w:lineRule="atLeast"/>
        <w:jc w:val="right"/>
        <w:textAlignment w:val="auto"/>
        <w:rPr>
          <w:rFonts w:hint="eastAsia" w:ascii="仿宋_GB2312" w:hAnsi="仿宋" w:eastAsia="仿宋_GB2312"/>
          <w:color w:val="000000" w:themeColor="text1"/>
          <w:sz w:val="32"/>
          <w14:textFill>
            <w14:solidFill>
              <w14:schemeClr w14:val="tx1"/>
            </w14:solidFill>
          </w14:textFill>
        </w:rPr>
      </w:pPr>
    </w:p>
    <w:p w14:paraId="22879D9C">
      <w:pPr>
        <w:pStyle w:val="8"/>
        <w:keepNext w:val="0"/>
        <w:keepLines w:val="0"/>
        <w:pageBreakBefore w:val="0"/>
        <w:widowControl w:val="0"/>
        <w:kinsoku/>
        <w:wordWrap/>
        <w:overflowPunct/>
        <w:topLinePunct w:val="0"/>
        <w:autoSpaceDE/>
        <w:autoSpaceDN/>
        <w:bidi w:val="0"/>
        <w:adjustRightInd/>
        <w:snapToGrid/>
        <w:spacing w:line="640" w:lineRule="atLeast"/>
        <w:jc w:val="right"/>
        <w:textAlignment w:val="auto"/>
        <w:rPr>
          <w:rFonts w:hint="eastAsia" w:ascii="仿宋_GB2312" w:hAnsi="仿宋" w:eastAsia="仿宋_GB2312"/>
          <w:color w:val="000000" w:themeColor="text1"/>
          <w:sz w:val="32"/>
          <w14:textFill>
            <w14:solidFill>
              <w14:schemeClr w14:val="tx1"/>
            </w14:solidFill>
          </w14:textFill>
        </w:rPr>
      </w:pPr>
    </w:p>
    <w:p w14:paraId="277C9913">
      <w:pPr>
        <w:pStyle w:val="8"/>
        <w:keepNext w:val="0"/>
        <w:keepLines w:val="0"/>
        <w:pageBreakBefore w:val="0"/>
        <w:widowControl w:val="0"/>
        <w:kinsoku/>
        <w:wordWrap/>
        <w:overflowPunct/>
        <w:topLinePunct w:val="0"/>
        <w:autoSpaceDE/>
        <w:autoSpaceDN/>
        <w:bidi w:val="0"/>
        <w:adjustRightInd/>
        <w:snapToGrid/>
        <w:spacing w:line="640" w:lineRule="atLeast"/>
        <w:jc w:val="right"/>
        <w:textAlignment w:val="auto"/>
        <w:rPr>
          <w:rFonts w:hint="eastAsia"/>
          <w:color w:val="000000" w:themeColor="text1"/>
          <w:lang w:eastAsia="zh-CN"/>
          <w14:textFill>
            <w14:solidFill>
              <w14:schemeClr w14:val="tx1"/>
            </w14:solidFill>
          </w14:textFill>
        </w:rPr>
      </w:pPr>
      <w:bookmarkStart w:id="0" w:name="_GoBack"/>
      <w:bookmarkEnd w:id="0"/>
      <w:r>
        <w:rPr>
          <w:rFonts w:hint="eastAsia" w:ascii="仿宋_GB2312" w:hAnsi="仿宋" w:eastAsia="仿宋_GB2312"/>
          <w:color w:val="000000" w:themeColor="text1"/>
          <w:sz w:val="32"/>
          <w14:textFill>
            <w14:solidFill>
              <w14:schemeClr w14:val="tx1"/>
            </w14:solidFill>
          </w14:textFill>
        </w:rPr>
        <w:t>常德市财政局投资评审中心</w:t>
      </w:r>
    </w:p>
    <w:p w14:paraId="5BE6F74A">
      <w:pPr>
        <w:keepNext w:val="0"/>
        <w:keepLines w:val="0"/>
        <w:pageBreakBefore w:val="0"/>
        <w:widowControl w:val="0"/>
        <w:kinsoku/>
        <w:wordWrap/>
        <w:overflowPunct/>
        <w:topLinePunct w:val="0"/>
        <w:autoSpaceDE/>
        <w:autoSpaceDN/>
        <w:bidi w:val="0"/>
        <w:adjustRightInd/>
        <w:snapToGrid/>
        <w:spacing w:line="640" w:lineRule="atLeast"/>
        <w:ind w:firstLine="5760" w:firstLineChars="1800"/>
        <w:textAlignment w:val="auto"/>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202</w:t>
      </w:r>
      <w:r>
        <w:rPr>
          <w:rFonts w:hint="eastAsia" w:ascii="仿宋_GB2312" w:hAnsi="仿宋" w:eastAsia="仿宋_GB2312"/>
          <w:color w:val="000000" w:themeColor="text1"/>
          <w:sz w:val="32"/>
          <w:szCs w:val="32"/>
          <w:lang w:val="en-US" w:eastAsia="zh-CN"/>
          <w14:textFill>
            <w14:solidFill>
              <w14:schemeClr w14:val="tx1"/>
            </w14:solidFill>
          </w14:textFill>
        </w:rPr>
        <w:t>6</w:t>
      </w:r>
      <w:r>
        <w:rPr>
          <w:rFonts w:hint="eastAsia" w:ascii="仿宋_GB2312" w:hAnsi="仿宋" w:eastAsia="仿宋_GB2312"/>
          <w:color w:val="000000" w:themeColor="text1"/>
          <w:sz w:val="32"/>
          <w:szCs w:val="32"/>
          <w14:textFill>
            <w14:solidFill>
              <w14:schemeClr w14:val="tx1"/>
            </w14:solidFill>
          </w14:textFill>
        </w:rPr>
        <w:t>年</w:t>
      </w:r>
      <w:r>
        <w:rPr>
          <w:rFonts w:hint="eastAsia" w:ascii="仿宋_GB2312" w:hAnsi="仿宋" w:eastAsia="仿宋_GB2312"/>
          <w:color w:val="000000" w:themeColor="text1"/>
          <w:sz w:val="32"/>
          <w:szCs w:val="32"/>
          <w:lang w:val="en-US" w:eastAsia="zh-CN"/>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月</w:t>
      </w:r>
      <w:r>
        <w:rPr>
          <w:rFonts w:hint="eastAsia" w:ascii="仿宋_GB2312" w:hAnsi="仿宋" w:eastAsia="仿宋_GB2312"/>
          <w:color w:val="000000" w:themeColor="text1"/>
          <w:sz w:val="32"/>
          <w:szCs w:val="32"/>
          <w:lang w:val="en-US" w:eastAsia="zh-CN"/>
          <w14:textFill>
            <w14:solidFill>
              <w14:schemeClr w14:val="tx1"/>
            </w14:solidFill>
          </w14:textFill>
        </w:rPr>
        <w:t>29</w:t>
      </w:r>
      <w:r>
        <w:rPr>
          <w:rFonts w:hint="eastAsia" w:ascii="仿宋_GB2312" w:hAnsi="仿宋" w:eastAsia="仿宋_GB2312"/>
          <w:color w:val="000000" w:themeColor="text1"/>
          <w:sz w:val="32"/>
          <w:szCs w:val="32"/>
          <w14:textFill>
            <w14:solidFill>
              <w14:schemeClr w14:val="tx1"/>
            </w14:solidFill>
          </w14:textFill>
        </w:rPr>
        <w:t>日</w:t>
      </w:r>
    </w:p>
    <w:p w14:paraId="32F2A26F">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12ABA34F">
      <w:pPr>
        <w:numPr>
          <w:ilvl w:val="0"/>
          <w:numId w:val="0"/>
        </w:numPr>
        <w:rPr>
          <w:rFonts w:hint="default" w:ascii="方正仿宋_GB2312" w:hAnsi="方正仿宋_GB2312" w:eastAsia="方正仿宋_GB2312" w:cs="方正仿宋_GB2312"/>
          <w:color w:val="000000" w:themeColor="text1"/>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附表</w:t>
      </w:r>
    </w:p>
    <w:tbl>
      <w:tblPr>
        <w:tblStyle w:val="4"/>
        <w:tblW w:w="95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3"/>
        <w:gridCol w:w="2678"/>
        <w:gridCol w:w="2190"/>
        <w:gridCol w:w="1916"/>
        <w:gridCol w:w="1969"/>
      </w:tblGrid>
      <w:tr w14:paraId="25191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jc w:val="center"/>
        </w:trPr>
        <w:tc>
          <w:tcPr>
            <w:tcW w:w="9556" w:type="dxa"/>
            <w:gridSpan w:val="5"/>
            <w:tcBorders>
              <w:top w:val="nil"/>
              <w:left w:val="nil"/>
              <w:bottom w:val="nil"/>
              <w:right w:val="nil"/>
            </w:tcBorders>
            <w:shd w:val="clear" w:color="auto" w:fill="auto"/>
            <w:vAlign w:val="center"/>
          </w:tcPr>
          <w:p w14:paraId="667AED7E">
            <w:pPr>
              <w:keepNext w:val="0"/>
              <w:keepLines w:val="0"/>
              <w:widowControl/>
              <w:suppressLineNumbers w:val="0"/>
              <w:jc w:val="center"/>
              <w:textAlignment w:val="center"/>
              <w:rPr>
                <w:rFonts w:ascii="仿宋_GB2312" w:hAnsi="仿宋_GB2312" w:eastAsia="仿宋_GB2312" w:cs="仿宋_GB2312"/>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夏家垱水系二期综合治理工程</w:t>
            </w:r>
            <w:r>
              <w:rPr>
                <w:rFonts w:hint="eastAsia" w:ascii="宋体" w:hAnsi="宋体" w:eastAsia="宋体" w:cs="宋体"/>
                <w:i w:val="0"/>
                <w:iCs w:val="0"/>
                <w:color w:val="000000"/>
                <w:kern w:val="0"/>
                <w:sz w:val="44"/>
                <w:szCs w:val="44"/>
                <w:u w:val="none"/>
                <w:lang w:val="en-US" w:eastAsia="zh-CN" w:bidi="ar"/>
              </w:rPr>
              <w:br w:type="textWrapping"/>
            </w:r>
            <w:r>
              <w:rPr>
                <w:rFonts w:hint="eastAsia" w:ascii="宋体" w:hAnsi="宋体" w:eastAsia="宋体" w:cs="宋体"/>
                <w:i w:val="0"/>
                <w:iCs w:val="0"/>
                <w:color w:val="000000"/>
                <w:kern w:val="0"/>
                <w:sz w:val="44"/>
                <w:szCs w:val="44"/>
                <w:u w:val="none"/>
                <w:lang w:val="en-US" w:eastAsia="zh-CN" w:bidi="ar"/>
              </w:rPr>
              <w:t>服务性前期费发现问题情况汇总表</w:t>
            </w:r>
          </w:p>
        </w:tc>
      </w:tr>
      <w:tr w14:paraId="30610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556" w:type="dxa"/>
            <w:gridSpan w:val="5"/>
            <w:tcBorders>
              <w:top w:val="nil"/>
              <w:left w:val="nil"/>
              <w:bottom w:val="nil"/>
              <w:right w:val="nil"/>
            </w:tcBorders>
            <w:shd w:val="clear" w:color="auto" w:fill="auto"/>
            <w:vAlign w:val="center"/>
          </w:tcPr>
          <w:p w14:paraId="21C37F26">
            <w:pPr>
              <w:keepNext w:val="0"/>
              <w:keepLines w:val="0"/>
              <w:widowControl/>
              <w:suppressLineNumbers w:val="0"/>
              <w:jc w:val="right"/>
              <w:textAlignment w:val="center"/>
              <w:rPr>
                <w:rFonts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金额单位：元</w:t>
            </w:r>
          </w:p>
        </w:tc>
      </w:tr>
      <w:tr w14:paraId="218B7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2BFA">
            <w:pPr>
              <w:keepNext w:val="0"/>
              <w:keepLines w:val="0"/>
              <w:widowControl/>
              <w:suppressLineNumbers w:val="0"/>
              <w:jc w:val="left"/>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2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5D0A">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项目名称</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529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报送评审金额（第三方审核金额）</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CF1DB">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评审发现问题金额</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B6D0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备  注</w:t>
            </w:r>
          </w:p>
        </w:tc>
      </w:tr>
      <w:tr w14:paraId="6CFB0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69F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2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FE5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造价咨询费</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1BF3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66705 </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880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3516">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常财审〔2016〕预字641号</w:t>
            </w:r>
          </w:p>
        </w:tc>
      </w:tr>
      <w:tr w14:paraId="3ED3F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E2C55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2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1AE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室内计算坐标点、清绘</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D5D0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2520 </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006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965A9">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常德市国土资源</w:t>
            </w:r>
          </w:p>
          <w:p w14:paraId="769EEB0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规划测绘院</w:t>
            </w:r>
          </w:p>
        </w:tc>
      </w:tr>
      <w:tr w14:paraId="0EFFC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02C06">
            <w:pPr>
              <w:jc w:val="center"/>
              <w:rPr>
                <w:rFonts w:hint="eastAsia" w:ascii="仿宋_GB2312" w:hAnsi="宋体" w:eastAsia="仿宋_GB2312" w:cs="仿宋_GB2312"/>
                <w:i w:val="0"/>
                <w:iCs w:val="0"/>
                <w:color w:val="000000"/>
                <w:sz w:val="24"/>
                <w:szCs w:val="24"/>
                <w:u w:val="none"/>
              </w:rPr>
            </w:pPr>
          </w:p>
        </w:tc>
        <w:tc>
          <w:tcPr>
            <w:tcW w:w="2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27E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地形图</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FEC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4470 </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598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A385A">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常德市规划建筑</w:t>
            </w:r>
          </w:p>
          <w:p w14:paraId="461C134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设计院</w:t>
            </w:r>
          </w:p>
        </w:tc>
      </w:tr>
      <w:tr w14:paraId="0CDC6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26C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2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062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监理费</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D86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387709 </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BFF7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2702F">
            <w:pPr>
              <w:jc w:val="center"/>
              <w:rPr>
                <w:rFonts w:hint="eastAsia" w:ascii="仿宋_GB2312" w:hAnsi="宋体" w:eastAsia="仿宋_GB2312" w:cs="仿宋_GB2312"/>
                <w:i w:val="0"/>
                <w:iCs w:val="0"/>
                <w:color w:val="000000"/>
                <w:sz w:val="24"/>
                <w:szCs w:val="24"/>
                <w:u w:val="none"/>
              </w:rPr>
            </w:pPr>
          </w:p>
        </w:tc>
      </w:tr>
      <w:tr w14:paraId="16F7B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DC6F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2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5B1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建设单位管理费</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268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298176 </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06D9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-15066</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3DD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超审减率扣减</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（增补预算17.78%）</w:t>
            </w:r>
          </w:p>
        </w:tc>
      </w:tr>
      <w:tr w14:paraId="559DB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B8E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2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7D3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前期费审核费</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2110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2712 </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D979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-484 </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1593">
            <w:pPr>
              <w:jc w:val="center"/>
              <w:rPr>
                <w:rFonts w:hint="eastAsia" w:ascii="仿宋_GB2312" w:hAnsi="宋体" w:eastAsia="仿宋_GB2312" w:cs="仿宋_GB2312"/>
                <w:i w:val="0"/>
                <w:iCs w:val="0"/>
                <w:color w:val="000000"/>
                <w:sz w:val="24"/>
                <w:szCs w:val="24"/>
                <w:u w:val="none"/>
              </w:rPr>
            </w:pPr>
          </w:p>
        </w:tc>
      </w:tr>
      <w:tr w14:paraId="14D1D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3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1B54C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  计</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2C7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762292 </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D525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-15550 </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BD0A">
            <w:pPr>
              <w:jc w:val="center"/>
              <w:rPr>
                <w:rFonts w:hint="eastAsia" w:ascii="仿宋_GB2312" w:hAnsi="宋体" w:eastAsia="仿宋_GB2312" w:cs="仿宋_GB2312"/>
                <w:i w:val="0"/>
                <w:iCs w:val="0"/>
                <w:color w:val="000000"/>
                <w:sz w:val="24"/>
                <w:szCs w:val="24"/>
                <w:u w:val="none"/>
              </w:rPr>
            </w:pPr>
          </w:p>
        </w:tc>
      </w:tr>
    </w:tbl>
    <w:p w14:paraId="5F827CBF">
      <w:pPr>
        <w:numPr>
          <w:ilvl w:val="0"/>
          <w:numId w:val="0"/>
        </w:numPr>
        <w:rPr>
          <w:rFonts w:hint="default" w:ascii="方正仿宋_GB2312" w:hAnsi="方正仿宋_GB2312" w:eastAsia="方正仿宋_GB2312" w:cs="方正仿宋_GB2312"/>
          <w:color w:val="0000FF"/>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332ECC-BF94-41CA-84F6-2400FA73674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C1310555-44C1-4ACB-856A-9EC43EFBC1A9}"/>
  </w:font>
  <w:font w:name="仿宋">
    <w:panose1 w:val="02010609060101010101"/>
    <w:charset w:val="86"/>
    <w:family w:val="modern"/>
    <w:pitch w:val="default"/>
    <w:sig w:usb0="800002BF" w:usb1="38CF7CFA" w:usb2="00000016" w:usb3="00000000" w:csb0="00040001" w:csb1="00000000"/>
    <w:embedRegular r:id="rId3" w:fontKey="{E4C4021D-9900-449D-B701-5E60A8A9116D}"/>
  </w:font>
  <w:font w:name="方正仿宋_GB2312">
    <w:panose1 w:val="02000000000000000000"/>
    <w:charset w:val="86"/>
    <w:family w:val="auto"/>
    <w:pitch w:val="default"/>
    <w:sig w:usb0="A00002BF" w:usb1="184F6CFA" w:usb2="00000012" w:usb3="00000000" w:csb0="00040001" w:csb1="00000000"/>
    <w:embedRegular r:id="rId4" w:fontKey="{FF5FB517-C289-4526-822C-B7119C326B8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0A68EE"/>
    <w:rsid w:val="00E60A9C"/>
    <w:rsid w:val="016722DB"/>
    <w:rsid w:val="03D71F36"/>
    <w:rsid w:val="061E0D61"/>
    <w:rsid w:val="09B47E91"/>
    <w:rsid w:val="0A9877F2"/>
    <w:rsid w:val="0AC81921"/>
    <w:rsid w:val="122A36D2"/>
    <w:rsid w:val="128C26B2"/>
    <w:rsid w:val="12971BF6"/>
    <w:rsid w:val="14273883"/>
    <w:rsid w:val="148F3869"/>
    <w:rsid w:val="172A60BA"/>
    <w:rsid w:val="18B54BA7"/>
    <w:rsid w:val="196F2D26"/>
    <w:rsid w:val="1E047E0B"/>
    <w:rsid w:val="1E0C16EA"/>
    <w:rsid w:val="1EBE4245"/>
    <w:rsid w:val="1FD61FB0"/>
    <w:rsid w:val="20596AE1"/>
    <w:rsid w:val="237F6B50"/>
    <w:rsid w:val="247C7499"/>
    <w:rsid w:val="2B3620EB"/>
    <w:rsid w:val="2B650153"/>
    <w:rsid w:val="2CFF241A"/>
    <w:rsid w:val="2D636E4D"/>
    <w:rsid w:val="2F555870"/>
    <w:rsid w:val="2FB03F14"/>
    <w:rsid w:val="30226B4B"/>
    <w:rsid w:val="30472667"/>
    <w:rsid w:val="32B22189"/>
    <w:rsid w:val="357E187F"/>
    <w:rsid w:val="3BA50B4A"/>
    <w:rsid w:val="40B7508E"/>
    <w:rsid w:val="436D11D4"/>
    <w:rsid w:val="44387476"/>
    <w:rsid w:val="45170F2A"/>
    <w:rsid w:val="47584DBF"/>
    <w:rsid w:val="49837F30"/>
    <w:rsid w:val="4AEB35C7"/>
    <w:rsid w:val="4CC27294"/>
    <w:rsid w:val="4D8030EB"/>
    <w:rsid w:val="4E3B1341"/>
    <w:rsid w:val="4F8356CE"/>
    <w:rsid w:val="513D15DF"/>
    <w:rsid w:val="51D7415E"/>
    <w:rsid w:val="54DD333B"/>
    <w:rsid w:val="54EA3F8A"/>
    <w:rsid w:val="56A94BD6"/>
    <w:rsid w:val="5922354D"/>
    <w:rsid w:val="5AB65211"/>
    <w:rsid w:val="5B2B24A8"/>
    <w:rsid w:val="5E5F6603"/>
    <w:rsid w:val="5EB3763F"/>
    <w:rsid w:val="60B51595"/>
    <w:rsid w:val="614A1F68"/>
    <w:rsid w:val="61EA527C"/>
    <w:rsid w:val="635527B8"/>
    <w:rsid w:val="638D1C65"/>
    <w:rsid w:val="65C27948"/>
    <w:rsid w:val="6A242683"/>
    <w:rsid w:val="6A7618A7"/>
    <w:rsid w:val="6BE32FA2"/>
    <w:rsid w:val="6CDB1F80"/>
    <w:rsid w:val="6DDD5B32"/>
    <w:rsid w:val="6F1E51B0"/>
    <w:rsid w:val="6F4150E2"/>
    <w:rsid w:val="6F8F04BD"/>
    <w:rsid w:val="71E61804"/>
    <w:rsid w:val="73296DED"/>
    <w:rsid w:val="77D376CA"/>
    <w:rsid w:val="7FA27844"/>
    <w:rsid w:val="7FC97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character" w:customStyle="1" w:styleId="7">
    <w:name w:val="font71"/>
    <w:basedOn w:val="5"/>
    <w:qFormat/>
    <w:uiPriority w:val="0"/>
    <w:rPr>
      <w:rFonts w:hint="eastAsia" w:ascii="仿宋_GB2312" w:eastAsia="仿宋_GB2312" w:cs="仿宋_GB2312"/>
      <w:b/>
      <w:bCs/>
      <w:color w:val="000000"/>
      <w:sz w:val="22"/>
      <w:szCs w:val="22"/>
      <w:u w:val="none"/>
    </w:rPr>
  </w:style>
  <w:style w:type="paragraph" w:customStyle="1" w:styleId="8">
    <w:name w:val="列出段落1"/>
    <w:basedOn w:val="1"/>
    <w:next w:val="1"/>
    <w:qFormat/>
    <w:uiPriority w:val="34"/>
    <w:pPr>
      <w:ind w:firstLine="420"/>
    </w:pPr>
  </w:style>
  <w:style w:type="character" w:customStyle="1" w:styleId="9">
    <w:name w:val="font41"/>
    <w:basedOn w:val="5"/>
    <w:qFormat/>
    <w:uiPriority w:val="0"/>
    <w:rPr>
      <w:rFonts w:hint="eastAsia" w:ascii="仿宋_GB2312" w:eastAsia="仿宋_GB2312" w:cs="仿宋_GB2312"/>
      <w:b/>
      <w:bCs/>
      <w:color w:val="000000"/>
      <w:sz w:val="22"/>
      <w:szCs w:val="22"/>
      <w:u w:val="none"/>
    </w:rPr>
  </w:style>
  <w:style w:type="character" w:customStyle="1" w:styleId="10">
    <w:name w:val="font51"/>
    <w:basedOn w:val="5"/>
    <w:qFormat/>
    <w:uiPriority w:val="0"/>
    <w:rPr>
      <w:rFonts w:hint="eastAsia" w:ascii="仿宋_GB2312" w:eastAsia="仿宋_GB2312" w:cs="仿宋_GB2312"/>
      <w:color w:val="000000"/>
      <w:sz w:val="24"/>
      <w:szCs w:val="24"/>
      <w:u w:val="none"/>
    </w:rPr>
  </w:style>
  <w:style w:type="character" w:customStyle="1" w:styleId="11">
    <w:name w:val="font81"/>
    <w:basedOn w:val="5"/>
    <w:qFormat/>
    <w:uiPriority w:val="0"/>
    <w:rPr>
      <w:rFonts w:hint="eastAsia" w:ascii="宋体" w:hAnsi="宋体" w:eastAsia="宋体" w:cs="宋体"/>
      <w:color w:val="000000"/>
      <w:sz w:val="24"/>
      <w:szCs w:val="24"/>
      <w:u w:val="none"/>
    </w:rPr>
  </w:style>
  <w:style w:type="character" w:customStyle="1" w:styleId="12">
    <w:name w:val="font91"/>
    <w:basedOn w:val="5"/>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1283</Words>
  <Characters>1500</Characters>
  <Lines>0</Lines>
  <Paragraphs>0</Paragraphs>
  <TotalTime>33</TotalTime>
  <ScaleCrop>false</ScaleCrop>
  <LinksUpToDate>false</LinksUpToDate>
  <CharactersWithSpaces>1523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2026-01-29T00:31:00Z</cp:lastPrinted>
  <dcterms:modified xsi:type="dcterms:W3CDTF">2026-04-10T01:44:06Z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