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szCs w:val="32"/>
        </w:rPr>
      </w:pPr>
    </w:p>
    <w:p w14:paraId="09A58409">
      <w:pPr>
        <w:ind w:left="0" w:leftChars="0" w:right="0" w:rightChars="0" w:firstLine="0" w:firstLineChars="0"/>
        <w:jc w:val="center"/>
        <w:rPr>
          <w:rFonts w:hint="eastAsia" w:ascii="仿宋_GB2312" w:hAnsi="仿宋_GB2312" w:eastAsia="仿宋_GB2312"/>
          <w:sz w:val="32"/>
        </w:rPr>
      </w:pPr>
      <w:r>
        <w:rPr>
          <w:rFonts w:hint="eastAsia" w:ascii="仿宋_GB2312" w:hAnsi="仿宋_GB2312" w:eastAsia="仿宋_GB2312"/>
          <w:sz w:val="32"/>
        </w:rPr>
        <w:t>常财审〔20</w:t>
      </w:r>
      <w:r>
        <w:rPr>
          <w:rFonts w:hint="eastAsia" w:ascii="仿宋_GB2312" w:hAnsi="仿宋_GB2312" w:eastAsia="仿宋_GB2312"/>
          <w:sz w:val="32"/>
          <w:lang w:val="en-US" w:eastAsia="zh-CN"/>
        </w:rPr>
        <w:t>26</w:t>
      </w:r>
      <w:r>
        <w:rPr>
          <w:rFonts w:hint="eastAsia" w:ascii="仿宋_GB2312" w:hAnsi="仿宋_GB2312" w:eastAsia="仿宋_GB2312"/>
          <w:sz w:val="32"/>
        </w:rPr>
        <w:t>〕结字</w:t>
      </w:r>
      <w:r>
        <w:rPr>
          <w:rFonts w:hint="eastAsia" w:ascii="仿宋_GB2312" w:hAnsi="仿宋_GB2312" w:eastAsia="仿宋_GB2312"/>
          <w:sz w:val="32"/>
          <w:lang w:val="en-US" w:eastAsia="zh-CN"/>
        </w:rPr>
        <w:t>51</w:t>
      </w:r>
      <w:r>
        <w:rPr>
          <w:rFonts w:hint="eastAsia" w:ascii="仿宋_GB2312" w:hAnsi="仿宋_GB2312" w:eastAsia="仿宋_GB2312"/>
          <w:sz w:val="32"/>
        </w:rPr>
        <w:t>号</w:t>
      </w:r>
    </w:p>
    <w:p w14:paraId="58A33A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spacing w:val="20"/>
          <w:sz w:val="44"/>
          <w:szCs w:val="44"/>
        </w:rPr>
      </w:pPr>
    </w:p>
    <w:p w14:paraId="5AA93EFC">
      <w:pPr>
        <w:numPr>
          <w:ilvl w:val="0"/>
          <w:numId w:val="0"/>
        </w:numPr>
        <w:jc w:val="center"/>
        <w:rPr>
          <w:rFonts w:hint="eastAsia" w:ascii="宋体" w:hAnsi="宋体" w:eastAsia="宋体" w:cs="宋体"/>
          <w:sz w:val="44"/>
          <w:szCs w:val="44"/>
          <w:lang w:val="en-US" w:eastAsia="zh-CN"/>
        </w:rPr>
      </w:pPr>
      <w:r>
        <w:rPr>
          <w:rFonts w:hint="eastAsia" w:ascii="宋体" w:hAnsi="宋体" w:eastAsia="宋体" w:cs="宋体"/>
          <w:spacing w:val="-11"/>
          <w:sz w:val="44"/>
          <w:szCs w:val="44"/>
          <w:lang w:val="en-US" w:eastAsia="zh-CN"/>
        </w:rPr>
        <w:t>关</w:t>
      </w:r>
      <w:r>
        <w:rPr>
          <w:rFonts w:hint="eastAsia" w:ascii="宋体" w:hAnsi="宋体" w:eastAsia="宋体" w:cs="宋体"/>
          <w:sz w:val="44"/>
          <w:szCs w:val="44"/>
          <w:lang w:val="en-US" w:eastAsia="zh-CN"/>
        </w:rPr>
        <w:t>于环湖路(花山桥-泉水桥)一、二期道路及</w:t>
      </w:r>
    </w:p>
    <w:p w14:paraId="353E371F">
      <w:pPr>
        <w:numPr>
          <w:ilvl w:val="0"/>
          <w:numId w:val="0"/>
        </w:numPr>
        <w:jc w:val="center"/>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景观工程服务性前期费的评审意见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lang w:val="en-US" w:eastAsia="zh-CN"/>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常德市融资核算中心：</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受你中心委托，根据常德市海绵城市建设投资开发有限公司送审资料，我中心对环湖路(花山桥-泉水桥)一、二期道路及景观工程服务性前期费进行了评价和审查。</w:t>
      </w:r>
    </w:p>
    <w:p w14:paraId="2E6D058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项目立项批复情况</w:t>
      </w:r>
    </w:p>
    <w:p w14:paraId="70B7EF5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常德市沾天湖南岸堤防整治及环湖景观大道工程由常德市发改委常发改农〔2012〕208号立项批复，总投资金额109713万元，</w:t>
      </w:r>
      <w:r>
        <w:rPr>
          <w:rFonts w:hint="eastAsia" w:ascii="仿宋_GB2312" w:hAnsi="仿宋_GB2312" w:eastAsia="仿宋_GB2312" w:cs="仿宋_GB2312"/>
          <w:sz w:val="32"/>
          <w:szCs w:val="32"/>
          <w:lang w:val="en-US" w:eastAsia="zh-CN"/>
        </w:rPr>
        <w:t>其中工程费74630万元、其他费用29858万元、预备费5225万元。</w:t>
      </w:r>
      <w:r>
        <w:rPr>
          <w:rFonts w:hint="eastAsia" w:ascii="仿宋_GB2312" w:hAnsi="仿宋_GB2312" w:eastAsia="仿宋_GB2312" w:cs="仿宋_GB2312"/>
          <w:color w:val="auto"/>
          <w:sz w:val="32"/>
          <w:szCs w:val="32"/>
          <w:lang w:val="en-US" w:eastAsia="zh-CN"/>
        </w:rPr>
        <w:t>环湖路(花山桥-泉水桥)一、二期道路及景观工程为该立项批复建设内容之一，另包含沾天湖南岸堤防整治工程等主要建设内容</w:t>
      </w:r>
      <w:r>
        <w:rPr>
          <w:rFonts w:hint="eastAsia" w:ascii="仿宋_GB2312" w:hAnsi="仿宋_GB2312" w:eastAsia="仿宋_GB2312" w:cs="仿宋_GB2312"/>
          <w:sz w:val="32"/>
          <w:szCs w:val="32"/>
          <w:lang w:val="en-US" w:eastAsia="zh-CN"/>
        </w:rPr>
        <w:t>。</w:t>
      </w: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项目已评审预结算情况（不含征拆）</w:t>
      </w:r>
    </w:p>
    <w:p w14:paraId="5CDA4FC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环湖路(花山桥-泉水桥)一、二期道路及景观工程经相关批示采用概算招标。</w:t>
      </w:r>
    </w:p>
    <w:p w14:paraId="42B653E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环湖路(花山桥-泉水桥)一、二期道路及景观工程主体工程结算由常德市审计局政府投资审计专业处审计：</w:t>
      </w:r>
    </w:p>
    <w:p w14:paraId="6A5C7D5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sz w:val="32"/>
          <w:szCs w:val="32"/>
          <w:lang w:val="en-US" w:eastAsia="zh-CN"/>
        </w:rPr>
        <w:t>一期道路及景观工程结算审计金额367709564元(常审投报〔2017〕结字39号)；</w:t>
      </w:r>
    </w:p>
    <w:p w14:paraId="791DFA7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sz w:val="32"/>
          <w:szCs w:val="32"/>
          <w:lang w:val="en-US" w:eastAsia="zh-CN"/>
        </w:rPr>
        <w:t>二期第一施工段工程结算审计金额173888357元(常审投报〔2018〕结字34号)；</w:t>
      </w:r>
    </w:p>
    <w:p w14:paraId="754A866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sz w:val="32"/>
          <w:szCs w:val="32"/>
          <w:lang w:val="en-US" w:eastAsia="zh-CN"/>
        </w:rPr>
        <w:t>二期第二施工段工程结算审计金额75308751元(常审投报〔2019〕结字30号)。</w:t>
      </w:r>
    </w:p>
    <w:p w14:paraId="2461664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另沾天湖南岸堤防整治工程审计结算360944837元（常审报〔2015〕49号），其中包含前期费12732811元。</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本次送审情况</w:t>
      </w:r>
    </w:p>
    <w:p w14:paraId="1CBA892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本次送审环湖路(花山桥-泉水桥)一、二期道路及景观工程</w:t>
      </w:r>
      <w:r>
        <w:rPr>
          <w:rFonts w:hint="eastAsia" w:ascii="仿宋_GB2312" w:hAnsi="仿宋_GB2312" w:eastAsia="仿宋_GB2312" w:cs="仿宋_GB2312"/>
          <w:sz w:val="32"/>
          <w:szCs w:val="32"/>
          <w:lang w:val="en-US" w:eastAsia="zh-CN"/>
        </w:rPr>
        <w:t>服务性前期费，</w:t>
      </w:r>
      <w:r>
        <w:rPr>
          <w:rFonts w:hint="eastAsia" w:ascii="仿宋_GB2312" w:hAnsi="仿宋_GB2312" w:eastAsia="仿宋_GB2312" w:cs="仿宋_GB2312"/>
          <w:spacing w:val="-11"/>
          <w:sz w:val="32"/>
          <w:szCs w:val="32"/>
          <w:lang w:val="en-US" w:eastAsia="zh-CN"/>
        </w:rPr>
        <w:t>评审编号X202548号。</w:t>
      </w:r>
      <w:r>
        <w:rPr>
          <w:rFonts w:hint="eastAsia" w:ascii="仿宋_GB2312" w:hAnsi="仿宋_GB2312" w:eastAsia="仿宋_GB2312" w:cs="仿宋_GB2312"/>
          <w:sz w:val="32"/>
          <w:szCs w:val="32"/>
          <w:lang w:val="en-US" w:eastAsia="zh-CN"/>
        </w:rPr>
        <w:t>主要包括水土保持方案编制费、施工图审查费、建设单位管理费及第三方结算审核费。</w:t>
      </w:r>
    </w:p>
    <w:p w14:paraId="198C58F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kern w:val="2"/>
          <w:sz w:val="32"/>
          <w:szCs w:val="32"/>
          <w:lang w:val="en-US" w:eastAsia="zh-CN" w:bidi="ar-SA"/>
        </w:rPr>
        <w:t>四、</w:t>
      </w:r>
      <w:r>
        <w:rPr>
          <w:rFonts w:hint="eastAsia" w:ascii="黑体" w:hAnsi="黑体" w:eastAsia="黑体" w:cs="黑体"/>
          <w:b w:val="0"/>
          <w:bCs w:val="0"/>
          <w:color w:val="auto"/>
          <w:sz w:val="32"/>
          <w:szCs w:val="32"/>
          <w:lang w:val="en-US" w:eastAsia="zh-CN"/>
        </w:rPr>
        <w:t>存在的问题</w:t>
      </w:r>
    </w:p>
    <w:p w14:paraId="78D1543B">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建设单位管理费以结算审计工程费为基数计算，按相关规定审减率超15%应同比例扣减管理费；</w:t>
      </w:r>
    </w:p>
    <w:p w14:paraId="46A412C3">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第三方机构结算审核费，基数计算错误。</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lang w:val="en-US" w:eastAsia="zh-CN"/>
        </w:rPr>
        <w:t>评审意见</w:t>
      </w:r>
    </w:p>
    <w:p w14:paraId="21C39FAA">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rPr>
          <w:rFonts w:hint="eastAsia"/>
        </w:rPr>
      </w:pPr>
      <w:r>
        <w:rPr>
          <w:rFonts w:hint="eastAsia" w:ascii="仿宋_GB2312" w:hAnsi="仿宋" w:eastAsia="仿宋_GB2312" w:cs="Times New Roman"/>
          <w:color w:val="auto"/>
          <w:sz w:val="32"/>
          <w:szCs w:val="32"/>
          <w:lang w:val="zh-CN"/>
        </w:rPr>
        <w:t>该服务性前期费</w:t>
      </w:r>
      <w:r>
        <w:rPr>
          <w:rFonts w:hint="eastAsia" w:ascii="仿宋_GB2312" w:hAnsi="仿宋" w:eastAsia="仿宋_GB2312" w:cs="Times New Roman"/>
          <w:color w:val="auto"/>
          <w:sz w:val="32"/>
          <w:szCs w:val="32"/>
          <w:lang w:val="en-US" w:eastAsia="zh-CN"/>
        </w:rPr>
        <w:t>报</w:t>
      </w:r>
      <w:r>
        <w:rPr>
          <w:rFonts w:hint="eastAsia" w:ascii="仿宋_GB2312" w:hAnsi="仿宋" w:eastAsia="仿宋_GB2312" w:cs="Times New Roman"/>
          <w:color w:val="auto"/>
          <w:sz w:val="32"/>
          <w:szCs w:val="32"/>
          <w:lang w:val="zh-CN"/>
        </w:rPr>
        <w:t>送</w:t>
      </w:r>
      <w:r>
        <w:rPr>
          <w:rFonts w:hint="eastAsia" w:ascii="仿宋_GB2312" w:hAnsi="仿宋" w:eastAsia="仿宋_GB2312" w:cs="Times New Roman"/>
          <w:color w:val="auto"/>
          <w:sz w:val="32"/>
          <w:szCs w:val="32"/>
          <w:lang w:val="en-US" w:eastAsia="zh-CN"/>
        </w:rPr>
        <w:t>评</w:t>
      </w:r>
      <w:r>
        <w:rPr>
          <w:rFonts w:hint="eastAsia" w:ascii="仿宋_GB2312" w:hAnsi="仿宋" w:eastAsia="仿宋_GB2312" w:cs="Times New Roman"/>
          <w:color w:val="auto"/>
          <w:sz w:val="32"/>
          <w:szCs w:val="32"/>
          <w:lang w:val="zh-CN"/>
        </w:rPr>
        <w:t>审金额</w:t>
      </w:r>
      <w:r>
        <w:rPr>
          <w:rFonts w:hint="eastAsia" w:ascii="仿宋_GB2312" w:hAnsi="仿宋_GB2312" w:eastAsia="仿宋_GB2312" w:cs="仿宋_GB2312"/>
          <w:b w:val="0"/>
          <w:bCs w:val="0"/>
          <w:sz w:val="30"/>
          <w:szCs w:val="30"/>
          <w:highlight w:val="none"/>
          <w:lang w:val="en-US" w:eastAsia="zh-CN"/>
        </w:rPr>
        <w:t>（</w:t>
      </w:r>
      <w:r>
        <w:rPr>
          <w:rFonts w:hint="eastAsia" w:ascii="仿宋_GB2312" w:hAnsi="仿宋" w:eastAsia="仿宋_GB2312" w:cs="Times New Roman"/>
          <w:color w:val="auto"/>
          <w:sz w:val="32"/>
          <w:szCs w:val="32"/>
          <w:lang w:val="en-US" w:eastAsia="zh-CN"/>
        </w:rPr>
        <w:t>第三方审核金额）4667353</w:t>
      </w:r>
      <w:r>
        <w:rPr>
          <w:rFonts w:hint="eastAsia" w:ascii="仿宋_GB2312" w:hAnsi="仿宋_GB2312" w:eastAsia="仿宋_GB2312" w:cs="仿宋_GB2312"/>
          <w:sz w:val="32"/>
          <w:szCs w:val="32"/>
          <w:lang w:val="en-US" w:eastAsia="zh-CN"/>
        </w:rPr>
        <w:t>元</w:t>
      </w:r>
      <w:r>
        <w:rPr>
          <w:rFonts w:hint="eastAsia" w:ascii="仿宋_GB2312" w:hAnsi="仿宋" w:eastAsia="仿宋_GB2312" w:cs="Times New Roman"/>
          <w:color w:val="auto"/>
          <w:sz w:val="32"/>
          <w:szCs w:val="32"/>
          <w:lang w:val="en-US" w:eastAsia="zh-CN"/>
        </w:rPr>
        <w:t>，评审发现问题</w:t>
      </w:r>
      <w:r>
        <w:rPr>
          <w:rFonts w:hint="eastAsia" w:ascii="仿宋_GB2312" w:hAnsi="仿宋" w:eastAsia="仿宋_GB2312" w:cs="Times New Roman"/>
          <w:color w:val="auto"/>
          <w:sz w:val="32"/>
          <w:szCs w:val="32"/>
          <w:lang w:val="zh-CN" w:eastAsia="zh-CN"/>
        </w:rPr>
        <w:t>金</w:t>
      </w:r>
      <w:r>
        <w:rPr>
          <w:rFonts w:hint="eastAsia" w:ascii="仿宋_GB2312" w:hAnsi="仿宋" w:eastAsia="仿宋_GB2312" w:cs="Times New Roman"/>
          <w:b w:val="0"/>
          <w:bCs w:val="0"/>
          <w:color w:val="auto"/>
          <w:sz w:val="32"/>
          <w:szCs w:val="32"/>
          <w:highlight w:val="none"/>
          <w:lang w:val="zh-CN" w:eastAsia="zh-CN"/>
        </w:rPr>
        <w:t>额</w:t>
      </w:r>
      <w:r>
        <w:rPr>
          <w:rFonts w:hint="eastAsia" w:ascii="仿宋_GB2312" w:hAnsi="仿宋" w:eastAsia="仿宋_GB2312" w:cs="Times New Roman"/>
          <w:b w:val="0"/>
          <w:bCs w:val="0"/>
          <w:color w:val="auto"/>
          <w:sz w:val="32"/>
          <w:szCs w:val="32"/>
          <w:highlight w:val="none"/>
          <w:lang w:val="en-US" w:eastAsia="zh-CN"/>
        </w:rPr>
        <w:t>18743</w:t>
      </w:r>
      <w:r>
        <w:rPr>
          <w:rFonts w:hint="eastAsia" w:ascii="仿宋_GB2312" w:hAnsi="仿宋" w:eastAsia="仿宋_GB2312" w:cs="Times New Roman"/>
          <w:b w:val="0"/>
          <w:bCs w:val="0"/>
          <w:color w:val="auto"/>
          <w:sz w:val="32"/>
          <w:szCs w:val="32"/>
          <w:highlight w:val="none"/>
          <w:lang w:val="zh-CN" w:eastAsia="zh-CN"/>
        </w:rPr>
        <w:t>元</w:t>
      </w:r>
      <w:r>
        <w:rPr>
          <w:rFonts w:hint="eastAsia" w:ascii="仿宋_GB2312" w:hAnsi="仿宋" w:eastAsia="仿宋_GB2312" w:cs="Times New Roman"/>
          <w:color w:val="auto"/>
          <w:sz w:val="32"/>
          <w:szCs w:val="32"/>
          <w:lang w:val="zh-CN" w:eastAsia="zh-CN"/>
        </w:rPr>
        <w:t>（详见附表）。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kern w:val="2"/>
          <w:sz w:val="32"/>
          <w:szCs w:val="32"/>
          <w:lang w:val="en-US" w:eastAsia="zh-CN" w:bidi="ar-SA"/>
        </w:rPr>
        <w:t>六、</w:t>
      </w:r>
      <w:r>
        <w:rPr>
          <w:rFonts w:hint="eastAsia" w:ascii="黑体" w:hAnsi="黑体" w:eastAsia="黑体" w:cs="黑体"/>
          <w:b w:val="0"/>
          <w:bCs w:val="0"/>
          <w:sz w:val="32"/>
          <w:szCs w:val="32"/>
          <w:lang w:val="en-US" w:eastAsia="zh-CN"/>
        </w:rPr>
        <w:t>有关说明</w:t>
      </w:r>
    </w:p>
    <w:p w14:paraId="42F2315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 xml:space="preserve">1. </w:t>
      </w:r>
      <w:r>
        <w:rPr>
          <w:rFonts w:hint="eastAsia" w:ascii="仿宋_GB2312" w:hAnsi="仿宋_GB2312" w:eastAsia="仿宋_GB2312" w:cs="仿宋_GB2312"/>
          <w:color w:val="auto"/>
          <w:sz w:val="32"/>
          <w:szCs w:val="32"/>
          <w:lang w:val="en-US" w:eastAsia="zh-CN"/>
        </w:rPr>
        <w:t>根据常德市海绵城市建设投资开发有限公司《关于调整项目送审金额的请示》，送审金额由12748066元调整为4667353元；</w:t>
      </w:r>
    </w:p>
    <w:p w14:paraId="551D77D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 本次评审的建设单位管理费以常德市审计局政府投资审计专业处出具的三个审计报告中工程费合计为基数计算。沾天湖南岸堤防整治工程审计结算金额中总立项内已按总基数计取的前期费类目，不复重复报送；</w:t>
      </w:r>
    </w:p>
    <w:p w14:paraId="044318B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 根据送审资料显示，该工程全部服务性前期费已清理完毕。除本次已审结算费用外，设计费、造价咨询费、勘察勘探费、工程测量费、检测费缺乏关键资料，本次未予送审。</w:t>
      </w:r>
    </w:p>
    <w:p w14:paraId="11E0D96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 本项目送审资料经项目单位整理收集、主管部门审核、资金管理科室签批，评审中心根据送审资料进行评价和审查，不对资料真实性和完整性、合规性等负责；</w:t>
      </w:r>
    </w:p>
    <w:p w14:paraId="2065228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 对纳入审计监督范围项目，业主单位应及时将完整的结算竣工资料报送市审计局，并积极主动配合审计监督工作，后续如因资料增加或缺失、内容变更造成的费用调整，由业主单位自行负责。</w:t>
      </w:r>
    </w:p>
    <w:p w14:paraId="44875B77">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4EB2B512">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67140F4D">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4D697C16">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bookmarkStart w:id="0" w:name="_GoBack"/>
      <w:bookmarkEnd w:id="0"/>
    </w:p>
    <w:p w14:paraId="277C9913">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lang w:eastAsia="zh-CN"/>
        </w:rPr>
      </w:pPr>
      <w:r>
        <w:rPr>
          <w:rFonts w:hint="eastAsia" w:ascii="仿宋_GB2312" w:hAnsi="仿宋" w:eastAsia="仿宋_GB2312"/>
          <w:sz w:val="32"/>
        </w:rPr>
        <w:t>常德市财政局投资评审中心</w:t>
      </w:r>
    </w:p>
    <w:p w14:paraId="7903125A">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方正仿宋_GB2312" w:hAnsi="方正仿宋_GB2312" w:eastAsia="方正仿宋_GB2312" w:cs="方正仿宋_GB2312"/>
          <w:sz w:val="32"/>
          <w:szCs w:val="32"/>
          <w:lang w:val="en-US" w:eastAsia="zh-CN"/>
        </w:rPr>
      </w:pPr>
      <w:r>
        <w:rPr>
          <w:rFonts w:hint="eastAsia" w:ascii="仿宋_GB2312" w:hAnsi="仿宋" w:eastAsia="仿宋_GB2312"/>
          <w:color w:val="auto"/>
          <w:sz w:val="32"/>
          <w:szCs w:val="32"/>
        </w:rPr>
        <w:t>202</w:t>
      </w:r>
      <w:r>
        <w:rPr>
          <w:rFonts w:hint="eastAsia" w:ascii="仿宋_GB2312" w:hAnsi="仿宋" w:eastAsia="仿宋_GB2312"/>
          <w:color w:val="auto"/>
          <w:sz w:val="32"/>
          <w:szCs w:val="32"/>
          <w:lang w:val="en-US" w:eastAsia="zh-CN"/>
        </w:rPr>
        <w:t>6</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月</w:t>
      </w:r>
      <w:r>
        <w:rPr>
          <w:rFonts w:hint="eastAsia" w:ascii="仿宋_GB2312" w:hAnsi="仿宋" w:eastAsia="仿宋_GB2312"/>
          <w:color w:val="auto"/>
          <w:sz w:val="32"/>
          <w:szCs w:val="32"/>
          <w:lang w:val="en-US" w:eastAsia="zh-CN"/>
        </w:rPr>
        <w:t>10</w:t>
      </w:r>
      <w:r>
        <w:rPr>
          <w:rFonts w:hint="eastAsia" w:ascii="仿宋_GB2312" w:hAnsi="仿宋" w:eastAsia="仿宋_GB2312"/>
          <w:color w:val="auto"/>
          <w:sz w:val="32"/>
          <w:szCs w:val="32"/>
        </w:rPr>
        <w:t>日</w:t>
      </w:r>
    </w:p>
    <w:p w14:paraId="12ABA34F">
      <w:pPr>
        <w:numPr>
          <w:ilvl w:val="0"/>
          <w:numId w:val="0"/>
        </w:numPr>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附表</w:t>
      </w:r>
    </w:p>
    <w:tbl>
      <w:tblPr>
        <w:tblStyle w:val="4"/>
        <w:tblW w:w="90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9"/>
        <w:gridCol w:w="2827"/>
        <w:gridCol w:w="1762"/>
        <w:gridCol w:w="1700"/>
        <w:gridCol w:w="1885"/>
      </w:tblGrid>
      <w:tr w14:paraId="16C68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9" w:hRule="atLeast"/>
          <w:jc w:val="center"/>
        </w:trPr>
        <w:tc>
          <w:tcPr>
            <w:tcW w:w="9013" w:type="dxa"/>
            <w:gridSpan w:val="5"/>
            <w:tcBorders>
              <w:top w:val="nil"/>
              <w:left w:val="nil"/>
              <w:bottom w:val="nil"/>
              <w:right w:val="nil"/>
            </w:tcBorders>
            <w:shd w:val="clear" w:color="auto" w:fill="auto"/>
            <w:vAlign w:val="center"/>
          </w:tcPr>
          <w:p w14:paraId="5E63FF89">
            <w:pPr>
              <w:keepNext w:val="0"/>
              <w:keepLines w:val="0"/>
              <w:widowControl/>
              <w:suppressLineNumbers w:val="0"/>
              <w:jc w:val="center"/>
              <w:textAlignment w:val="center"/>
              <w:rPr>
                <w:rFonts w:hint="eastAsia" w:ascii="宋体" w:hAnsi="宋体" w:eastAsia="宋体" w:cs="宋体"/>
                <w:i w:val="0"/>
                <w:iCs w:val="0"/>
                <w:color w:val="000000"/>
                <w:sz w:val="40"/>
                <w:szCs w:val="40"/>
                <w:u w:val="none"/>
              </w:rPr>
            </w:pPr>
            <w:r>
              <w:rPr>
                <w:rFonts w:hint="eastAsia" w:ascii="宋体" w:hAnsi="宋体" w:eastAsia="宋体" w:cs="宋体"/>
                <w:i w:val="0"/>
                <w:iCs w:val="0"/>
                <w:color w:val="000000"/>
                <w:kern w:val="0"/>
                <w:sz w:val="44"/>
                <w:szCs w:val="44"/>
                <w:u w:val="none"/>
                <w:lang w:val="en-US" w:eastAsia="zh-CN" w:bidi="ar"/>
              </w:rPr>
              <w:t>环湖路(花山桥-泉水桥)一、二期道路及景观工程服务性前期费发现问题情况汇总表</w:t>
            </w:r>
          </w:p>
        </w:tc>
      </w:tr>
      <w:tr w14:paraId="6ACCF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9013" w:type="dxa"/>
            <w:gridSpan w:val="5"/>
            <w:tcBorders>
              <w:top w:val="nil"/>
              <w:left w:val="nil"/>
              <w:bottom w:val="nil"/>
              <w:right w:val="nil"/>
            </w:tcBorders>
            <w:shd w:val="clear" w:color="auto" w:fill="auto"/>
            <w:vAlign w:val="center"/>
          </w:tcPr>
          <w:p w14:paraId="2FCD40D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r>
              <w:rPr>
                <w:rFonts w:hint="eastAsia" w:ascii="仿宋_GB2312" w:hAnsi="仿宋_GB2312" w:eastAsia="仿宋_GB2312" w:cs="仿宋_GB2312"/>
                <w:i w:val="0"/>
                <w:iCs w:val="0"/>
                <w:color w:val="000000"/>
                <w:kern w:val="0"/>
                <w:sz w:val="24"/>
                <w:szCs w:val="24"/>
                <w:u w:val="none"/>
                <w:lang w:val="en-US" w:eastAsia="zh-CN" w:bidi="ar"/>
              </w:rPr>
              <w:t>单位:元</w:t>
            </w:r>
          </w:p>
        </w:tc>
      </w:tr>
      <w:tr w14:paraId="2CCC9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5" w:hRule="atLeast"/>
          <w:jc w:val="center"/>
        </w:trPr>
        <w:tc>
          <w:tcPr>
            <w:tcW w:w="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2A73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序号</w:t>
            </w:r>
          </w:p>
        </w:tc>
        <w:tc>
          <w:tcPr>
            <w:tcW w:w="2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8E0A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项目名称</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952D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报送评审金额</w:t>
            </w:r>
            <w:r>
              <w:rPr>
                <w:rFonts w:hint="eastAsia" w:ascii="仿宋_GB2312" w:hAnsi="仿宋_GB2312" w:eastAsia="仿宋_GB2312" w:cs="仿宋_GB2312"/>
                <w:b/>
                <w:bCs/>
                <w:i w:val="0"/>
                <w:iCs w:val="0"/>
                <w:color w:val="000000"/>
                <w:kern w:val="0"/>
                <w:sz w:val="24"/>
                <w:szCs w:val="24"/>
                <w:u w:val="none"/>
                <w:lang w:val="en-US" w:eastAsia="zh-CN" w:bidi="ar"/>
              </w:rPr>
              <w:br w:type="textWrapping"/>
            </w:r>
            <w:r>
              <w:rPr>
                <w:rFonts w:hint="eastAsia" w:ascii="仿宋_GB2312" w:hAnsi="仿宋_GB2312" w:eastAsia="仿宋_GB2312" w:cs="仿宋_GB2312"/>
                <w:b/>
                <w:bCs/>
                <w:i w:val="0"/>
                <w:iCs w:val="0"/>
                <w:color w:val="000000"/>
                <w:kern w:val="0"/>
                <w:sz w:val="24"/>
                <w:szCs w:val="24"/>
                <w:u w:val="none"/>
                <w:lang w:val="en-US" w:eastAsia="zh-CN" w:bidi="ar"/>
              </w:rPr>
              <w:t>（第三方审核金额）</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6924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评审发现问题金额</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75F1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备  注</w:t>
            </w:r>
          </w:p>
        </w:tc>
      </w:tr>
      <w:tr w14:paraId="56D85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F732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AC4E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水土保持方案编制费</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38EA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150000</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142A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 xml:space="preserve">0 </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62EF0">
            <w:pPr>
              <w:jc w:val="center"/>
              <w:rPr>
                <w:rFonts w:hint="eastAsia"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val="en-US" w:eastAsia="zh-CN"/>
              </w:rPr>
              <w:t>立项全部内容</w:t>
            </w:r>
          </w:p>
        </w:tc>
      </w:tr>
      <w:tr w14:paraId="38D00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A02D8">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FA2A0">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施工图审查费</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7C7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140600</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EC4C1">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 xml:space="preserve">0 </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E343C">
            <w:pPr>
              <w:jc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本工程</w:t>
            </w:r>
          </w:p>
        </w:tc>
      </w:tr>
      <w:tr w14:paraId="5A8E4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B6240">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15007">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建设单位管理费</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A810B">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lang w:val="en-US"/>
              </w:rPr>
            </w:pPr>
            <w:r>
              <w:rPr>
                <w:rFonts w:hint="eastAsia" w:ascii="仿宋_GB2312" w:hAnsi="仿宋_GB2312" w:eastAsia="仿宋_GB2312" w:cs="仿宋_GB2312"/>
                <w:i w:val="0"/>
                <w:iCs w:val="0"/>
                <w:color w:val="auto"/>
                <w:kern w:val="0"/>
                <w:sz w:val="24"/>
                <w:szCs w:val="24"/>
                <w:u w:val="none"/>
                <w:lang w:val="en-US" w:eastAsia="zh-CN" w:bidi="ar"/>
              </w:rPr>
              <w:t>4351566</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DF56C">
            <w:pPr>
              <w:jc w:val="center"/>
              <w:rPr>
                <w:rFonts w:hint="eastAsia"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val="en-US" w:eastAsia="zh-CN"/>
              </w:rPr>
              <w:t>-14851</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39CDA">
            <w:pPr>
              <w:jc w:val="center"/>
              <w:rPr>
                <w:rFonts w:hint="eastAsia" w:ascii="仿宋_GB2312" w:hAnsi="仿宋_GB2312" w:eastAsia="仿宋_GB2312" w:cs="仿宋_GB2312"/>
                <w:i w:val="0"/>
                <w:iCs w:val="0"/>
                <w:color w:val="auto"/>
                <w:sz w:val="24"/>
                <w:szCs w:val="24"/>
                <w:u w:val="none"/>
                <w:lang w:eastAsia="zh-CN"/>
              </w:rPr>
            </w:pPr>
            <w:r>
              <w:rPr>
                <w:rFonts w:hint="eastAsia" w:ascii="仿宋_GB2312" w:hAnsi="仿宋_GB2312" w:eastAsia="仿宋_GB2312" w:cs="仿宋_GB2312"/>
                <w:i w:val="0"/>
                <w:iCs w:val="0"/>
                <w:color w:val="auto"/>
                <w:sz w:val="24"/>
                <w:szCs w:val="24"/>
                <w:u w:val="none"/>
                <w:lang w:eastAsia="zh-CN"/>
              </w:rPr>
              <w:t>本工程</w:t>
            </w:r>
          </w:p>
        </w:tc>
      </w:tr>
      <w:tr w14:paraId="0BA40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F89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4</w:t>
            </w:r>
          </w:p>
        </w:tc>
        <w:tc>
          <w:tcPr>
            <w:tcW w:w="2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20DD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第三方结算审核费</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7D9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rPr>
            </w:pPr>
            <w:r>
              <w:rPr>
                <w:rFonts w:hint="eastAsia" w:ascii="仿宋_GB2312" w:hAnsi="仿宋_GB2312" w:eastAsia="仿宋_GB2312" w:cs="仿宋_GB2312"/>
                <w:b w:val="0"/>
                <w:bCs w:val="0"/>
                <w:i w:val="0"/>
                <w:iCs w:val="0"/>
                <w:color w:val="000000"/>
                <w:kern w:val="0"/>
                <w:sz w:val="24"/>
                <w:szCs w:val="24"/>
                <w:u w:val="none"/>
                <w:lang w:val="en-US" w:eastAsia="zh-CN" w:bidi="ar"/>
              </w:rPr>
              <w:t>25187</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288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rPr>
            </w:pPr>
            <w:r>
              <w:rPr>
                <w:rFonts w:hint="eastAsia" w:ascii="仿宋_GB2312" w:hAnsi="仿宋_GB2312" w:eastAsia="仿宋_GB2312" w:cs="仿宋_GB2312"/>
                <w:b w:val="0"/>
                <w:bCs w:val="0"/>
                <w:i w:val="0"/>
                <w:iCs w:val="0"/>
                <w:color w:val="000000"/>
                <w:kern w:val="0"/>
                <w:sz w:val="24"/>
                <w:szCs w:val="24"/>
                <w:u w:val="none"/>
                <w:lang w:val="en-US" w:eastAsia="zh-CN" w:bidi="ar"/>
              </w:rPr>
              <w:t>-3892</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4CD0D">
            <w:pPr>
              <w:jc w:val="center"/>
              <w:rPr>
                <w:rFonts w:hint="eastAsia" w:ascii="仿宋_GB2312" w:hAnsi="仿宋_GB2312" w:eastAsia="仿宋_GB2312" w:cs="仿宋_GB2312"/>
                <w:i w:val="0"/>
                <w:iCs w:val="0"/>
                <w:color w:val="000000"/>
                <w:sz w:val="24"/>
                <w:szCs w:val="24"/>
                <w:u w:val="none"/>
                <w:lang w:eastAsia="zh-CN"/>
              </w:rPr>
            </w:pPr>
            <w:r>
              <w:rPr>
                <w:rFonts w:hint="eastAsia" w:ascii="仿宋_GB2312" w:hAnsi="仿宋_GB2312" w:eastAsia="仿宋_GB2312" w:cs="仿宋_GB2312"/>
                <w:i w:val="0"/>
                <w:iCs w:val="0"/>
                <w:color w:val="000000"/>
                <w:kern w:val="2"/>
                <w:sz w:val="24"/>
                <w:szCs w:val="24"/>
                <w:u w:val="none"/>
                <w:lang w:val="en-US" w:eastAsia="zh-CN" w:bidi="ar-SA"/>
              </w:rPr>
              <w:t>基数错误</w:t>
            </w:r>
          </w:p>
        </w:tc>
      </w:tr>
      <w:tr w14:paraId="0F786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A2ADD">
            <w:pPr>
              <w:jc w:val="center"/>
              <w:rPr>
                <w:rFonts w:hint="eastAsia" w:ascii="仿宋_GB2312" w:hAnsi="仿宋_GB2312" w:eastAsia="仿宋_GB2312" w:cs="仿宋_GB2312"/>
                <w:b w:val="0"/>
                <w:bCs w:val="0"/>
                <w:i w:val="0"/>
                <w:iCs w:val="0"/>
                <w:color w:val="000000"/>
                <w:sz w:val="24"/>
                <w:szCs w:val="24"/>
                <w:u w:val="none"/>
              </w:rPr>
            </w:pPr>
          </w:p>
        </w:tc>
        <w:tc>
          <w:tcPr>
            <w:tcW w:w="2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A37A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合  计</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B6C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rPr>
            </w:pPr>
            <w:r>
              <w:rPr>
                <w:rFonts w:hint="eastAsia" w:ascii="仿宋_GB2312" w:hAnsi="仿宋_GB2312" w:eastAsia="仿宋_GB2312" w:cs="仿宋_GB2312"/>
                <w:b w:val="0"/>
                <w:bCs w:val="0"/>
                <w:i w:val="0"/>
                <w:iCs w:val="0"/>
                <w:color w:val="000000"/>
                <w:kern w:val="0"/>
                <w:sz w:val="24"/>
                <w:szCs w:val="24"/>
                <w:u w:val="none"/>
                <w:lang w:val="en-US" w:eastAsia="zh-CN" w:bidi="ar"/>
              </w:rPr>
              <w:t>4667353</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3C4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rPr>
            </w:pPr>
            <w:r>
              <w:rPr>
                <w:rFonts w:hint="eastAsia" w:ascii="仿宋_GB2312" w:hAnsi="仿宋_GB2312" w:eastAsia="仿宋_GB2312" w:cs="仿宋_GB2312"/>
                <w:b w:val="0"/>
                <w:bCs w:val="0"/>
                <w:i w:val="0"/>
                <w:iCs w:val="0"/>
                <w:color w:val="000000"/>
                <w:kern w:val="0"/>
                <w:sz w:val="24"/>
                <w:szCs w:val="24"/>
                <w:u w:val="none"/>
                <w:lang w:val="en-US" w:eastAsia="zh-CN" w:bidi="ar"/>
              </w:rPr>
              <w:t>-18743</w:t>
            </w:r>
          </w:p>
        </w:tc>
        <w:tc>
          <w:tcPr>
            <w:tcW w:w="1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7D877">
            <w:pPr>
              <w:jc w:val="center"/>
              <w:rPr>
                <w:rFonts w:hint="eastAsia" w:ascii="仿宋_GB2312" w:hAnsi="仿宋_GB2312" w:eastAsia="仿宋_GB2312" w:cs="仿宋_GB2312"/>
                <w:b/>
                <w:bCs/>
                <w:i w:val="0"/>
                <w:iCs w:val="0"/>
                <w:color w:val="000000"/>
                <w:sz w:val="24"/>
                <w:szCs w:val="24"/>
                <w:u w:val="none"/>
              </w:rPr>
            </w:pPr>
          </w:p>
        </w:tc>
      </w:tr>
    </w:tbl>
    <w:p w14:paraId="63E86816">
      <w:pPr>
        <w:numPr>
          <w:ilvl w:val="0"/>
          <w:numId w:val="0"/>
        </w:numPr>
        <w:rPr>
          <w:rFonts w:hint="default" w:ascii="方正仿宋_GB2312" w:hAnsi="方正仿宋_GB2312" w:eastAsia="方正仿宋_GB2312" w:cs="方正仿宋_GB2312"/>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9E0D43-102E-4917-82A6-2901B747E3D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A1DF2602-273A-477B-BD83-DB1FEC977903}"/>
  </w:font>
  <w:font w:name="仿宋">
    <w:panose1 w:val="02010609060101010101"/>
    <w:charset w:val="86"/>
    <w:family w:val="modern"/>
    <w:pitch w:val="default"/>
    <w:sig w:usb0="800002BF" w:usb1="38CF7CFA" w:usb2="00000016" w:usb3="00000000" w:csb0="00040001" w:csb1="00000000"/>
    <w:embedRegular r:id="rId3" w:fontKey="{68C37567-0FB6-448C-90E8-7310182E7EE1}"/>
  </w:font>
  <w:font w:name="方正仿宋_GB2312">
    <w:panose1 w:val="02000000000000000000"/>
    <w:charset w:val="86"/>
    <w:family w:val="auto"/>
    <w:pitch w:val="default"/>
    <w:sig w:usb0="A00002BF" w:usb1="184F6CFA" w:usb2="00000012" w:usb3="00000000" w:csb0="00040001" w:csb1="00000000"/>
    <w:embedRegular r:id="rId4" w:fontKey="{EF9E5989-A958-4188-B3B5-7CA6A889388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545B8F"/>
    <w:multiLevelType w:val="singleLevel"/>
    <w:tmpl w:val="35545B8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E60A9C"/>
    <w:rsid w:val="016722DB"/>
    <w:rsid w:val="028C5B78"/>
    <w:rsid w:val="059420FE"/>
    <w:rsid w:val="09B47E91"/>
    <w:rsid w:val="0A9877F2"/>
    <w:rsid w:val="122A36D2"/>
    <w:rsid w:val="12971BF6"/>
    <w:rsid w:val="13DA4490"/>
    <w:rsid w:val="157D6332"/>
    <w:rsid w:val="16C80A9A"/>
    <w:rsid w:val="172A60BA"/>
    <w:rsid w:val="1780446D"/>
    <w:rsid w:val="1E047E0B"/>
    <w:rsid w:val="1EBE4245"/>
    <w:rsid w:val="1FD61FB0"/>
    <w:rsid w:val="24475407"/>
    <w:rsid w:val="2C3D2FFD"/>
    <w:rsid w:val="2CFF241A"/>
    <w:rsid w:val="2D636E4D"/>
    <w:rsid w:val="2FB03F14"/>
    <w:rsid w:val="30472667"/>
    <w:rsid w:val="32B22189"/>
    <w:rsid w:val="3CF96BA1"/>
    <w:rsid w:val="40B7508E"/>
    <w:rsid w:val="44FE7B1F"/>
    <w:rsid w:val="47584DBF"/>
    <w:rsid w:val="49837F30"/>
    <w:rsid w:val="4CC27294"/>
    <w:rsid w:val="4D8030EB"/>
    <w:rsid w:val="4F8356CE"/>
    <w:rsid w:val="513D15DF"/>
    <w:rsid w:val="54DD333B"/>
    <w:rsid w:val="54EA3F8A"/>
    <w:rsid w:val="57485CE5"/>
    <w:rsid w:val="58845401"/>
    <w:rsid w:val="5922354D"/>
    <w:rsid w:val="5A295D71"/>
    <w:rsid w:val="5AB65211"/>
    <w:rsid w:val="5ACE4946"/>
    <w:rsid w:val="5E5F6603"/>
    <w:rsid w:val="60977A25"/>
    <w:rsid w:val="60B51595"/>
    <w:rsid w:val="635527B8"/>
    <w:rsid w:val="638D1C65"/>
    <w:rsid w:val="65C27948"/>
    <w:rsid w:val="6A7618A7"/>
    <w:rsid w:val="6F8F04BD"/>
    <w:rsid w:val="711C5FFE"/>
    <w:rsid w:val="73DC5A45"/>
    <w:rsid w:val="773402CD"/>
    <w:rsid w:val="77D376CA"/>
    <w:rsid w:val="77FE6EB6"/>
    <w:rsid w:val="7B150810"/>
    <w:rsid w:val="7EAE1C43"/>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1275</Words>
  <Characters>1437</Characters>
  <Lines>0</Lines>
  <Paragraphs>0</Paragraphs>
  <TotalTime>65</TotalTime>
  <ScaleCrop>false</ScaleCrop>
  <LinksUpToDate>false</LinksUpToDate>
  <CharactersWithSpaces>1512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2026-01-29T01:26:00Z</cp:lastPrinted>
  <dcterms:modified xsi:type="dcterms:W3CDTF">2026-04-10T01:47:26Z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193211AB00544E69B656E606F5909AA7_13</vt:lpwstr>
  </property>
  <property fmtid="{D5CDD505-2E9C-101B-9397-08002B2CF9AE}" pid="4" name="KSOTemplateDocerSaveRecord">
    <vt:lpwstr>eyJoZGlkIjoiZWMwNTc0MGJjNGVlNGU2MWIxYzUzZGM2Y2Q4MTIzY2EiLCJ1c2VySWQiOiIxMDc2NTE4NzkzIn0=</vt:lpwstr>
  </property>
</Properties>
</file>