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szCs w:val="32"/>
          <w14:textFill>
            <w14:solidFill>
              <w14:schemeClr w14:val="tx1"/>
            </w14:solidFill>
          </w14:textFill>
        </w:rPr>
      </w:pPr>
    </w:p>
    <w:p w14:paraId="09A58409">
      <w:pPr>
        <w:ind w:left="0" w:leftChars="0" w:right="0" w:rightChars="0" w:firstLine="0" w:firstLineChars="0"/>
        <w:jc w:val="center"/>
        <w:rPr>
          <w:rFonts w:hint="eastAsia" w:ascii="仿宋_GB2312" w:hAnsi="仿宋_GB2312" w:eastAsia="仿宋_GB2312"/>
          <w:color w:val="000000" w:themeColor="text1"/>
          <w:sz w:val="32"/>
          <w14:textFill>
            <w14:solidFill>
              <w14:schemeClr w14:val="tx1"/>
            </w14:solidFill>
          </w14:textFill>
        </w:rPr>
      </w:pPr>
      <w:r>
        <w:rPr>
          <w:rFonts w:hint="eastAsia" w:ascii="仿宋_GB2312" w:hAnsi="仿宋_GB2312" w:eastAsia="仿宋_GB2312"/>
          <w:color w:val="000000" w:themeColor="text1"/>
          <w:sz w:val="32"/>
          <w14:textFill>
            <w14:solidFill>
              <w14:schemeClr w14:val="tx1"/>
            </w14:solidFill>
          </w14:textFill>
        </w:rPr>
        <w:t>常财审〔20</w:t>
      </w:r>
      <w:r>
        <w:rPr>
          <w:rFonts w:hint="eastAsia" w:ascii="仿宋_GB2312" w:hAnsi="仿宋_GB2312" w:eastAsia="仿宋_GB2312"/>
          <w:color w:val="000000" w:themeColor="text1"/>
          <w:sz w:val="32"/>
          <w:lang w:val="en-US" w:eastAsia="zh-CN"/>
          <w14:textFill>
            <w14:solidFill>
              <w14:schemeClr w14:val="tx1"/>
            </w14:solidFill>
          </w14:textFill>
        </w:rPr>
        <w:t>26</w:t>
      </w:r>
      <w:r>
        <w:rPr>
          <w:rFonts w:hint="eastAsia" w:ascii="仿宋_GB2312" w:hAnsi="仿宋_GB2312" w:eastAsia="仿宋_GB2312"/>
          <w:color w:val="000000" w:themeColor="text1"/>
          <w:sz w:val="32"/>
          <w14:textFill>
            <w14:solidFill>
              <w14:schemeClr w14:val="tx1"/>
            </w14:solidFill>
          </w14:textFill>
        </w:rPr>
        <w:t>〕结字</w:t>
      </w:r>
      <w:r>
        <w:rPr>
          <w:rFonts w:hint="eastAsia" w:ascii="仿宋_GB2312" w:hAnsi="仿宋_GB2312" w:eastAsia="仿宋_GB2312"/>
          <w:color w:val="000000" w:themeColor="text1"/>
          <w:sz w:val="32"/>
          <w:lang w:val="en-US" w:eastAsia="zh-CN"/>
          <w14:textFill>
            <w14:solidFill>
              <w14:schemeClr w14:val="tx1"/>
            </w14:solidFill>
          </w14:textFill>
        </w:rPr>
        <w:t>56</w:t>
      </w:r>
      <w:r>
        <w:rPr>
          <w:rFonts w:hint="eastAsia" w:ascii="仿宋_GB2312" w:hAnsi="仿宋_GB2312" w:eastAsia="仿宋_GB2312"/>
          <w:color w:val="000000" w:themeColor="text1"/>
          <w:sz w:val="32"/>
          <w14:textFill>
            <w14:solidFill>
              <w14:schemeClr w14:val="tx1"/>
            </w14:solidFill>
          </w14:textFill>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color w:val="000000" w:themeColor="text1"/>
          <w:spacing w:val="20"/>
          <w:sz w:val="44"/>
          <w:szCs w:val="44"/>
          <w14:textFill>
            <w14:solidFill>
              <w14:schemeClr w14:val="tx1"/>
            </w14:solidFill>
          </w14:textFill>
        </w:rPr>
      </w:pPr>
    </w:p>
    <w:p w14:paraId="6CB0E587">
      <w:pPr>
        <w:numPr>
          <w:ilvl w:val="0"/>
          <w:numId w:val="0"/>
        </w:numPr>
        <w:jc w:val="center"/>
        <w:rPr>
          <w:rFonts w:hint="eastAsia" w:ascii="宋体" w:hAnsi="宋体" w:cs="宋体"/>
          <w:color w:val="000000" w:themeColor="text1"/>
          <w:spacing w:val="20"/>
          <w:sz w:val="44"/>
          <w:szCs w:val="44"/>
          <w:lang w:val="en-US" w:eastAsia="zh-CN"/>
          <w14:textFill>
            <w14:solidFill>
              <w14:schemeClr w14:val="tx1"/>
            </w14:solidFill>
          </w14:textFill>
        </w:rPr>
      </w:pPr>
      <w:r>
        <w:rPr>
          <w:rFonts w:hint="eastAsia" w:ascii="宋体" w:hAnsi="宋体" w:eastAsia="宋体" w:cs="宋体"/>
          <w:color w:val="000000" w:themeColor="text1"/>
          <w:spacing w:val="-11"/>
          <w:sz w:val="44"/>
          <w:szCs w:val="44"/>
          <w:lang w:val="en-US" w:eastAsia="zh-CN"/>
          <w14:textFill>
            <w14:solidFill>
              <w14:schemeClr w14:val="tx1"/>
            </w14:solidFill>
          </w14:textFill>
        </w:rPr>
        <w:t>关于船码头机埠改造、白马湖连通及白马湖桥至长胜桥河段景观绿化工程服</w:t>
      </w:r>
      <w:r>
        <w:rPr>
          <w:rFonts w:hint="eastAsia" w:ascii="宋体" w:hAnsi="宋体" w:cs="宋体"/>
          <w:color w:val="000000" w:themeColor="text1"/>
          <w:spacing w:val="20"/>
          <w:sz w:val="44"/>
          <w:szCs w:val="44"/>
          <w:lang w:val="en-US" w:eastAsia="zh-CN"/>
          <w14:textFill>
            <w14:solidFill>
              <w14:schemeClr w14:val="tx1"/>
            </w14:solidFill>
          </w14:textFill>
        </w:rPr>
        <w:t>务性</w:t>
      </w:r>
    </w:p>
    <w:p w14:paraId="353E371F">
      <w:pPr>
        <w:numPr>
          <w:ilvl w:val="0"/>
          <w:numId w:val="0"/>
        </w:numPr>
        <w:jc w:val="center"/>
        <w:rPr>
          <w:rFonts w:hint="eastAsia" w:ascii="宋体" w:hAnsi="宋体" w:eastAsia="宋体" w:cs="宋体"/>
          <w:color w:val="000000" w:themeColor="text1"/>
          <w:sz w:val="44"/>
          <w:szCs w:val="44"/>
          <w:lang w:val="en-US" w:eastAsia="zh-CN"/>
          <w14:textFill>
            <w14:solidFill>
              <w14:schemeClr w14:val="tx1"/>
            </w14:solidFill>
          </w14:textFill>
        </w:rPr>
      </w:pPr>
      <w:r>
        <w:rPr>
          <w:rFonts w:hint="eastAsia" w:ascii="宋体" w:hAnsi="宋体" w:cs="宋体"/>
          <w:color w:val="000000" w:themeColor="text1"/>
          <w:spacing w:val="20"/>
          <w:sz w:val="44"/>
          <w:szCs w:val="44"/>
          <w:lang w:val="en-US" w:eastAsia="zh-CN"/>
          <w14:textFill>
            <w14:solidFill>
              <w14:schemeClr w14:val="tx1"/>
            </w14:solidFill>
          </w14:textFill>
        </w:rPr>
        <w:t>前期费</w:t>
      </w:r>
      <w:r>
        <w:rPr>
          <w:rFonts w:hint="eastAsia" w:ascii="宋体" w:hAnsi="宋体" w:eastAsia="宋体" w:cs="宋体"/>
          <w:color w:val="000000" w:themeColor="text1"/>
          <w:sz w:val="44"/>
          <w:szCs w:val="44"/>
          <w:lang w:val="en-US" w:eastAsia="zh-CN"/>
          <w14:textFill>
            <w14:solidFill>
              <w14:schemeClr w14:val="tx1"/>
            </w14:solidFill>
          </w14:textFill>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受你科室委托，根据常德市海绵城市建设投资开发有限公司送审资料，我中心对船码头机埠改造、白马湖连通及白马湖桥至长胜桥河段景观绿化工程服务性前期费进行了评价和审查。</w:t>
      </w:r>
    </w:p>
    <w:p w14:paraId="0EC953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w:t>
      </w:r>
      <w:r>
        <w:rPr>
          <w:rFonts w:hint="eastAsia" w:ascii="黑体" w:hAnsi="黑体" w:eastAsia="黑体" w:cs="黑体"/>
          <w:color w:val="000000" w:themeColor="text1"/>
          <w:sz w:val="32"/>
          <w:szCs w:val="32"/>
          <w:lang w:val="en-US" w:eastAsia="zh-CN"/>
          <w14:textFill>
            <w14:solidFill>
              <w14:schemeClr w14:val="tx1"/>
            </w14:solidFill>
          </w14:textFill>
        </w:rPr>
        <w:t>项目立项批复情况</w:t>
      </w:r>
    </w:p>
    <w:p w14:paraId="3ABFFD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船码头机埠改造、白马湖连通及白马湖桥至长胜桥河段景观绿化工程由常德市发改委常发改投〔2010〕392号文批</w:t>
      </w:r>
      <w:r>
        <w:rPr>
          <w:rFonts w:hint="eastAsia" w:ascii="仿宋_GB2312" w:hAnsi="仿宋" w:eastAsia="仿宋_GB2312" w:cs="Times New Roman"/>
          <w:color w:val="000000" w:themeColor="text1"/>
          <w:sz w:val="32"/>
          <w:szCs w:val="32"/>
          <w:lang w:val="en-US" w:eastAsia="zh-CN"/>
          <w14:textFill>
            <w14:solidFill>
              <w14:schemeClr w14:val="tx1"/>
            </w14:solidFill>
          </w14:textFill>
        </w:rPr>
        <w:t>复立项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，项目总批复金额为15415万元，其中工程费用8630万元，征迁费用5318万元，其他费用1467万元。</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w:t>
      </w:r>
      <w:r>
        <w:rPr>
          <w:rFonts w:hint="eastAsia" w:ascii="黑体" w:hAnsi="黑体" w:eastAsia="黑体" w:cs="黑体"/>
          <w:color w:val="000000" w:themeColor="text1"/>
          <w:sz w:val="32"/>
          <w:szCs w:val="32"/>
          <w:lang w:val="en-US" w:eastAsia="zh-CN"/>
          <w14:textFill>
            <w14:solidFill>
              <w14:schemeClr w14:val="tx1"/>
            </w14:solidFill>
          </w14:textFill>
        </w:rPr>
        <w:t>项目已评审预结算情况（不含征拆）</w:t>
      </w:r>
    </w:p>
    <w:p w14:paraId="76F1E8A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船码头机埠改造、白马湖连通及白马湖桥至长胜桥河段景观绿化工程预算评审金额为121348142元(常财审〔2012〕预字124号，其中工程费115569659元、不可预见费5778483元)。主体工程结算审计金额为140686027元（常审投报〔2019〕结字26号）。</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w:t>
      </w:r>
      <w:r>
        <w:rPr>
          <w:rFonts w:hint="eastAsia" w:ascii="黑体" w:hAnsi="黑体" w:eastAsia="黑体" w:cs="黑体"/>
          <w:color w:val="000000" w:themeColor="text1"/>
          <w:sz w:val="32"/>
          <w:szCs w:val="32"/>
          <w:lang w:val="en-US" w:eastAsia="zh-CN"/>
          <w14:textFill>
            <w14:solidFill>
              <w14:schemeClr w14:val="tx1"/>
            </w14:solidFill>
          </w14:textFill>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本次送审为船码头机埠改造、白马湖连通及白马湖桥至长胜桥河段景观绿化工程服务性前期费，</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评审编号X202565号，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主要包括环境影响报告书编制费、水土保持方案编制费、测绘费、造价咨询费、监理费、建设单位管理费及第三方结算审核费。</w:t>
      </w:r>
    </w:p>
    <w:p w14:paraId="198C58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kern w:val="2"/>
          <w:sz w:val="32"/>
          <w:szCs w:val="32"/>
          <w:lang w:val="en-US" w:eastAsia="zh-CN" w:bidi="ar-SA"/>
          <w14:textFill>
            <w14:solidFill>
              <w14:schemeClr w14:val="tx1"/>
            </w14:solidFill>
          </w14:textFill>
        </w:rPr>
        <w:t>四、</w:t>
      </w:r>
      <w:r>
        <w:rPr>
          <w:rFonts w:hint="eastAsia" w:ascii="黑体" w:hAnsi="黑体" w:eastAsia="黑体" w:cs="黑体"/>
          <w:b w:val="0"/>
          <w:bCs w:val="0"/>
          <w:color w:val="000000" w:themeColor="text1"/>
          <w:sz w:val="32"/>
          <w:szCs w:val="32"/>
          <w:lang w:val="en-US" w:eastAsia="zh-CN"/>
          <w14:textFill>
            <w14:solidFill>
              <w14:schemeClr w14:val="tx1"/>
            </w14:solidFill>
          </w14:textFill>
        </w:rPr>
        <w:t>存在的问题</w:t>
      </w:r>
    </w:p>
    <w:p w14:paraId="52B4B5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sz w:val="32"/>
          <w:szCs w:val="32"/>
          <w:lang w:val="en-US" w:eastAsia="zh-CN"/>
        </w:rPr>
        <w:t>环境影响报告书编制费、造价咨询费及地形图修测费未执行地方文件标准。</w:t>
      </w:r>
    </w:p>
    <w:p w14:paraId="412BFC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sz w:val="32"/>
          <w:szCs w:val="32"/>
          <w:lang w:eastAsia="zh-CN"/>
        </w:rPr>
        <w:t>第三方结算审核费根据评审审减率相应调整金额。</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五、</w:t>
      </w:r>
      <w:r>
        <w:rPr>
          <w:rFonts w:hint="eastAsia" w:ascii="黑体" w:hAnsi="黑体" w:eastAsia="黑体" w:cs="黑体"/>
          <w:color w:val="000000" w:themeColor="text1"/>
          <w:sz w:val="32"/>
          <w:szCs w:val="32"/>
          <w:lang w:val="en-US" w:eastAsia="zh-CN"/>
          <w14:textFill>
            <w14:solidFill>
              <w14:schemeClr w14:val="tx1"/>
            </w14:solidFill>
          </w14:textFill>
        </w:rPr>
        <w:t>评审意见</w:t>
      </w:r>
    </w:p>
    <w:p w14:paraId="21C39F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lang w:val="zh-CN"/>
          <w14:textFill>
            <w14:solidFill>
              <w14:schemeClr w14:val="tx1"/>
            </w14:solidFill>
          </w14:textFill>
        </w:rPr>
        <w:t>该服务性前期费</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报</w:t>
      </w:r>
      <w:r>
        <w:rPr>
          <w:rFonts w:hint="eastAsia" w:ascii="仿宋_GB2312" w:hAnsi="仿宋" w:eastAsia="仿宋_GB2312" w:cs="Times New Roman"/>
          <w:color w:val="000000" w:themeColor="text1"/>
          <w:sz w:val="32"/>
          <w:szCs w:val="32"/>
          <w:lang w:val="zh-CN"/>
          <w14:textFill>
            <w14:solidFill>
              <w14:schemeClr w14:val="tx1"/>
            </w14:solidFill>
          </w14:textFill>
        </w:rPr>
        <w:t>送</w:t>
      </w:r>
      <w:r>
        <w:rPr>
          <w:rFonts w:hint="eastAsia" w:ascii="仿宋_GB2312" w:hAnsi="仿宋" w:eastAsia="仿宋_GB2312" w:cs="Times New Roman"/>
          <w:color w:val="000000" w:themeColor="text1"/>
          <w:sz w:val="32"/>
          <w:szCs w:val="32"/>
          <w:lang w:val="en-US" w:eastAsia="zh-CN"/>
          <w14:textFill>
            <w14:solidFill>
              <w14:schemeClr w14:val="tx1"/>
            </w14:solidFill>
          </w14:textFill>
        </w:rPr>
        <w:t>评</w:t>
      </w:r>
      <w:r>
        <w:rPr>
          <w:rFonts w:hint="eastAsia" w:ascii="仿宋_GB2312" w:hAnsi="仿宋" w:eastAsia="仿宋_GB2312" w:cs="Times New Roman"/>
          <w:color w:val="000000" w:themeColor="text1"/>
          <w:sz w:val="32"/>
          <w:szCs w:val="32"/>
          <w:lang w:val="zh-CN"/>
          <w14:textFill>
            <w14:solidFill>
              <w14:schemeClr w14:val="tx1"/>
            </w14:solidFill>
          </w14:textFill>
        </w:rPr>
        <w:t>审金额</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Times New Roman"/>
          <w:color w:val="000000" w:themeColor="text1"/>
          <w:sz w:val="32"/>
          <w:szCs w:val="32"/>
          <w:lang w:val="en-US" w:eastAsia="zh-CN"/>
          <w14:textFill>
            <w14:solidFill>
              <w14:schemeClr w14:val="tx1"/>
            </w14:solidFill>
          </w14:textFill>
        </w:rPr>
        <w:t>第三方审核金额）2874819</w:t>
      </w:r>
      <w:r>
        <w:rPr>
          <w:rFonts w:hint="eastAsia" w:ascii="仿宋_GB2312" w:hAnsi="仿宋_GB2312" w:eastAsia="仿宋_GB2312" w:cs="仿宋_GB2312"/>
          <w:color w:val="auto"/>
          <w:sz w:val="32"/>
          <w:szCs w:val="32"/>
          <w:lang w:val="en-US" w:eastAsia="zh-CN"/>
        </w:rPr>
        <w:t>元</w:t>
      </w:r>
      <w:r>
        <w:rPr>
          <w:rFonts w:hint="eastAsia" w:ascii="仿宋_GB2312" w:hAnsi="仿宋" w:eastAsia="仿宋_GB2312" w:cs="Times New Roman"/>
          <w:color w:val="auto"/>
          <w:sz w:val="32"/>
          <w:szCs w:val="32"/>
          <w:lang w:val="en-US" w:eastAsia="zh-CN"/>
        </w:rPr>
        <w:t>，评审发现问题</w:t>
      </w:r>
      <w:r>
        <w:rPr>
          <w:rFonts w:hint="eastAsia" w:ascii="仿宋_GB2312" w:hAnsi="仿宋" w:eastAsia="仿宋_GB2312" w:cs="Times New Roman"/>
          <w:color w:val="auto"/>
          <w:sz w:val="32"/>
          <w:szCs w:val="32"/>
          <w:lang w:val="zh-CN" w:eastAsia="zh-CN"/>
        </w:rPr>
        <w:t>金额</w:t>
      </w:r>
      <w:r>
        <w:rPr>
          <w:rFonts w:hint="eastAsia" w:ascii="仿宋_GB2312" w:hAnsi="仿宋" w:eastAsia="仿宋_GB2312" w:cs="Times New Roman"/>
          <w:color w:val="auto"/>
          <w:sz w:val="32"/>
          <w:szCs w:val="32"/>
          <w:lang w:val="en-US" w:eastAsia="zh-CN"/>
        </w:rPr>
        <w:t>62626</w:t>
      </w:r>
      <w:r>
        <w:rPr>
          <w:rFonts w:hint="eastAsia" w:ascii="仿宋_GB2312" w:hAnsi="仿宋" w:eastAsia="仿宋_GB2312" w:cs="Times New Roman"/>
          <w:color w:val="auto"/>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kern w:val="2"/>
          <w:sz w:val="32"/>
          <w:szCs w:val="32"/>
          <w:lang w:val="en-US" w:eastAsia="zh-CN" w:bidi="ar-SA"/>
          <w14:textFill>
            <w14:solidFill>
              <w14:schemeClr w14:val="tx1"/>
            </w14:solidFill>
          </w14:textFill>
        </w:rPr>
        <w:t>六、</w:t>
      </w:r>
      <w:r>
        <w:rPr>
          <w:rFonts w:hint="eastAsia" w:ascii="黑体" w:hAnsi="黑体" w:eastAsia="黑体" w:cs="黑体"/>
          <w:b w:val="0"/>
          <w:bCs w:val="0"/>
          <w:color w:val="000000" w:themeColor="text1"/>
          <w:sz w:val="32"/>
          <w:szCs w:val="32"/>
          <w:lang w:val="en-US" w:eastAsia="zh-CN"/>
          <w14:textFill>
            <w14:solidFill>
              <w14:schemeClr w14:val="tx1"/>
            </w14:solidFill>
          </w14:textFill>
        </w:rPr>
        <w:t>有关说明</w:t>
      </w:r>
    </w:p>
    <w:p w14:paraId="5578B4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sz w:val="32"/>
          <w:szCs w:val="32"/>
          <w:lang w:val="en-US" w:eastAsia="zh-CN"/>
        </w:rPr>
        <w:t>根据常德市海绵城市建设投资开发有限公司提供的</w:t>
      </w:r>
      <w:r>
        <w:rPr>
          <w:rFonts w:hint="eastAsia" w:ascii="仿宋_GB2312" w:hAnsi="仿宋_GB2312" w:eastAsia="仿宋_GB2312" w:cs="仿宋_GB2312"/>
          <w:b w:val="0"/>
          <w:bCs w:val="0"/>
          <w:color w:val="auto"/>
          <w:sz w:val="32"/>
          <w:szCs w:val="32"/>
          <w:u w:val="none"/>
          <w:lang w:val="en-US" w:eastAsia="zh-CN"/>
        </w:rPr>
        <w:t>《调整项目送审金额的请示》</w:t>
      </w:r>
      <w:r>
        <w:rPr>
          <w:rFonts w:hint="eastAsia" w:ascii="仿宋_GB2312" w:hAnsi="仿宋_GB2312" w:eastAsia="仿宋_GB2312" w:cs="仿宋_GB2312"/>
          <w:color w:val="auto"/>
          <w:sz w:val="32"/>
          <w:szCs w:val="32"/>
          <w:lang w:val="en-US" w:eastAsia="zh-CN"/>
        </w:rPr>
        <w:t>，可行性研究报告编制费、设计费（穿行道设计）、4项施工图审查费予以剔除，送审金额由原3135519元调整为2874819元。</w:t>
      </w:r>
    </w:p>
    <w:p w14:paraId="1282C3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sz w:val="32"/>
          <w:szCs w:val="32"/>
          <w:lang w:val="en-US" w:eastAsia="zh-CN"/>
        </w:rPr>
        <w:t>穿紫河改道测绘费与其他工程测绘合同名称类似，极易混淆，本次已计的常德市利群规划咨询服务中心发生的穿紫河改道测绘费，不得在其他项目中重复计取。</w:t>
      </w:r>
    </w:p>
    <w:p w14:paraId="09BA15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sz w:val="32"/>
          <w:szCs w:val="32"/>
          <w:lang w:val="en-US" w:eastAsia="zh-CN"/>
        </w:rPr>
        <w:t>建设单位管理费以结算审计工程费为计算基数，</w:t>
      </w:r>
      <w:r>
        <w:rPr>
          <w:rFonts w:hint="eastAsia" w:ascii="仿宋_GB2312" w:hAnsi="仿宋_GB2312" w:eastAsia="仿宋_GB2312" w:cs="仿宋_GB2312"/>
          <w:color w:val="auto"/>
          <w:kern w:val="2"/>
          <w:sz w:val="32"/>
          <w:szCs w:val="32"/>
          <w:lang w:val="en-US" w:eastAsia="zh-CN" w:bidi="ar-SA"/>
        </w:rPr>
        <w:t>劳保基金按缴纳票据直接列入项目决算成本。</w:t>
      </w:r>
    </w:p>
    <w:p w14:paraId="03550C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sz w:val="32"/>
          <w:szCs w:val="32"/>
          <w:lang w:val="en-US" w:eastAsia="zh-CN"/>
        </w:rPr>
        <w:t>根据送审资料显示，该工程全部服务性前期费已清理完毕。除本次已审结算费用外，设计费、勘察勘探费、工程测量费、检测费等因缺乏关键资料，本次未予送审。</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sz w:val="32"/>
          <w:szCs w:val="32"/>
          <w:lang w:val="en-US" w:eastAsia="zh-CN"/>
        </w:rPr>
        <w:t>本项目送审资料经项目单位整理收集、主管部门审核、资金管理科室签批，评审中心根据送审资料进行评价和审查，不对资料真实性和完整性、合规性等负责。</w:t>
      </w:r>
    </w:p>
    <w:p w14:paraId="479B14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sz w:val="32"/>
          <w:szCs w:val="32"/>
          <w:lang w:val="en-US" w:eastAsia="zh-CN"/>
        </w:rPr>
        <w:t>对纳入审计监督范围项目，业主单位应及时将完整的结算竣工资料报送市审计局，并积极主动配合审计监督工作，后续如因资料增加或缺失、内容变更造成的费用调整，由业主单位自行负责。</w:t>
      </w:r>
    </w:p>
    <w:p w14:paraId="7F10FB35">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 w:eastAsia="仿宋_GB2312"/>
          <w:color w:val="auto"/>
          <w:sz w:val="32"/>
        </w:rPr>
      </w:pPr>
    </w:p>
    <w:p w14:paraId="4589EF17">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 w:eastAsia="仿宋_GB2312"/>
          <w:color w:val="auto"/>
          <w:sz w:val="32"/>
        </w:rPr>
      </w:pPr>
    </w:p>
    <w:p w14:paraId="1C5ED6EE">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 w:eastAsia="仿宋_GB2312"/>
          <w:color w:val="auto"/>
          <w:sz w:val="32"/>
        </w:rPr>
      </w:pPr>
    </w:p>
    <w:p w14:paraId="277C991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color w:val="auto"/>
          <w:lang w:eastAsia="zh-CN"/>
        </w:rPr>
      </w:pPr>
      <w:bookmarkStart w:id="0" w:name="_GoBack"/>
      <w:bookmarkEnd w:id="0"/>
      <w:r>
        <w:rPr>
          <w:rFonts w:hint="eastAsia" w:ascii="仿宋_GB2312" w:hAnsi="仿宋" w:eastAsia="仿宋_GB2312"/>
          <w:color w:val="auto"/>
          <w:sz w:val="32"/>
        </w:rPr>
        <w:t>常德市财政局投资评审中心</w:t>
      </w:r>
    </w:p>
    <w:p w14:paraId="5BE6F74A">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方正仿宋_GB2312" w:hAnsi="方正仿宋_GB2312" w:eastAsia="方正仿宋_GB2312" w:cs="方正仿宋_GB2312"/>
          <w:color w:val="auto"/>
          <w:sz w:val="32"/>
          <w:szCs w:val="32"/>
          <w:lang w:val="en-US" w:eastAsia="zh-CN"/>
        </w:rPr>
      </w:pP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月</w:t>
      </w:r>
      <w:r>
        <w:rPr>
          <w:rFonts w:hint="eastAsia" w:ascii="仿宋_GB2312" w:hAnsi="仿宋" w:eastAsia="仿宋_GB2312"/>
          <w:color w:val="auto"/>
          <w:sz w:val="32"/>
          <w:szCs w:val="32"/>
          <w:lang w:val="en-US" w:eastAsia="zh-CN"/>
        </w:rPr>
        <w:t>10</w:t>
      </w:r>
      <w:r>
        <w:rPr>
          <w:rFonts w:hint="eastAsia" w:ascii="仿宋_GB2312" w:hAnsi="仿宋" w:eastAsia="仿宋_GB2312"/>
          <w:color w:val="auto"/>
          <w:sz w:val="32"/>
          <w:szCs w:val="32"/>
        </w:rPr>
        <w:t>日</w:t>
      </w:r>
    </w:p>
    <w:p w14:paraId="413D221F">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74099FD3">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617EF975">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12ABA34F">
      <w:pPr>
        <w:numPr>
          <w:ilvl w:val="0"/>
          <w:numId w:val="0"/>
        </w:numPr>
        <w:rPr>
          <w:rFonts w:hint="default" w:ascii="方正仿宋_GB2312" w:hAnsi="方正仿宋_GB2312" w:eastAsia="方正仿宋_GB2312" w:cs="方正仿宋_GB2312"/>
          <w:color w:val="000000" w:themeColor="text1"/>
          <w:sz w:val="32"/>
          <w:szCs w:val="32"/>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附表</w:t>
      </w:r>
    </w:p>
    <w:tbl>
      <w:tblPr>
        <w:tblStyle w:val="4"/>
        <w:tblW w:w="96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8"/>
        <w:gridCol w:w="3435"/>
        <w:gridCol w:w="1995"/>
        <w:gridCol w:w="1845"/>
        <w:gridCol w:w="1707"/>
      </w:tblGrid>
      <w:tr w14:paraId="18BD2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jc w:val="center"/>
        </w:trPr>
        <w:tc>
          <w:tcPr>
            <w:tcW w:w="9680" w:type="dxa"/>
            <w:gridSpan w:val="5"/>
            <w:tcBorders>
              <w:top w:val="nil"/>
              <w:left w:val="nil"/>
              <w:bottom w:val="nil"/>
              <w:right w:val="nil"/>
            </w:tcBorders>
            <w:shd w:val="clear" w:color="auto" w:fill="auto"/>
            <w:vAlign w:val="center"/>
          </w:tcPr>
          <w:p w14:paraId="0C7D5678">
            <w:pPr>
              <w:keepNext w:val="0"/>
              <w:keepLines w:val="0"/>
              <w:widowControl/>
              <w:suppressLineNumbers w:val="0"/>
              <w:jc w:val="center"/>
              <w:textAlignment w:val="center"/>
              <w:rPr>
                <w:rFonts w:hint="eastAsia" w:ascii="宋体" w:hAnsi="宋体" w:eastAsia="宋体" w:cs="宋体"/>
                <w:i w:val="0"/>
                <w:iCs w:val="0"/>
                <w:color w:val="000000"/>
                <w:kern w:val="0"/>
                <w:sz w:val="44"/>
                <w:szCs w:val="44"/>
                <w:u w:val="none"/>
                <w:lang w:val="en-US" w:eastAsia="zh-CN" w:bidi="ar"/>
              </w:rPr>
            </w:pPr>
            <w:r>
              <w:rPr>
                <w:rFonts w:hint="eastAsia" w:ascii="宋体" w:hAnsi="宋体" w:eastAsia="宋体" w:cs="宋体"/>
                <w:i w:val="0"/>
                <w:iCs w:val="0"/>
                <w:color w:val="000000"/>
                <w:kern w:val="0"/>
                <w:sz w:val="44"/>
                <w:szCs w:val="44"/>
                <w:u w:val="none"/>
                <w:lang w:val="en-US" w:eastAsia="zh-CN" w:bidi="ar"/>
              </w:rPr>
              <w:t>船码头机埠改造、白马湖连通及白马湖桥至长胜桥河段景观绿化工程服务性前期费</w:t>
            </w:r>
          </w:p>
          <w:p w14:paraId="52395D76">
            <w:pPr>
              <w:keepNext w:val="0"/>
              <w:keepLines w:val="0"/>
              <w:widowControl/>
              <w:suppressLineNumbers w:val="0"/>
              <w:jc w:val="center"/>
              <w:textAlignment w:val="center"/>
              <w:rPr>
                <w:rFonts w:ascii="仿宋_GB2312" w:hAnsi="仿宋_GB2312" w:eastAsia="仿宋_GB2312" w:cs="仿宋_GB2312"/>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发现问题情况汇总表</w:t>
            </w:r>
          </w:p>
        </w:tc>
      </w:tr>
      <w:tr w14:paraId="25C5E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680" w:type="dxa"/>
            <w:gridSpan w:val="5"/>
            <w:tcBorders>
              <w:top w:val="nil"/>
              <w:left w:val="nil"/>
              <w:bottom w:val="nil"/>
              <w:right w:val="nil"/>
            </w:tcBorders>
            <w:shd w:val="clear" w:color="auto" w:fill="auto"/>
            <w:vAlign w:val="center"/>
          </w:tcPr>
          <w:p w14:paraId="2CE6F8C2">
            <w:pPr>
              <w:keepNext w:val="0"/>
              <w:keepLines w:val="0"/>
              <w:widowControl/>
              <w:suppressLineNumbers w:val="0"/>
              <w:jc w:val="right"/>
              <w:textAlignment w:val="center"/>
              <w:rPr>
                <w:rFonts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4"/>
                <w:szCs w:val="24"/>
                <w:u w:val="none"/>
                <w:lang w:val="en-US" w:eastAsia="zh-CN" w:bidi="ar"/>
              </w:rPr>
              <w:t>金额单位：元</w:t>
            </w:r>
          </w:p>
        </w:tc>
      </w:tr>
      <w:tr w14:paraId="5FC7F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7CB6">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CB09">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项目名称</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7315C">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报送评审金额（第三方审核金额）</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92A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评审发现问题金额</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05ACE">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备  注</w:t>
            </w:r>
          </w:p>
        </w:tc>
      </w:tr>
      <w:tr w14:paraId="4BDFA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D69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 </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31D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环境影响报告书编制费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76A7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125800 </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A8B0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-34792 </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CDA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全段</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文件规定系数扣减</w:t>
            </w:r>
          </w:p>
        </w:tc>
      </w:tr>
      <w:tr w14:paraId="77C8F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22EF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 </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C2D1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水土保持方案编制费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15F1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120000 </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8A3C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21A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全段</w:t>
            </w:r>
          </w:p>
        </w:tc>
      </w:tr>
      <w:tr w14:paraId="7398F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5109F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3 </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03F0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地籍测绘、拨地定桩</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（南坪岗乡沙港2010.5.25）</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E6D3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3477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3D17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E21F6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常德市国土资源规划测绘院</w:t>
            </w:r>
          </w:p>
        </w:tc>
      </w:tr>
      <w:tr w14:paraId="58E95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5B612">
            <w:pPr>
              <w:jc w:val="center"/>
              <w:rPr>
                <w:rFonts w:hint="eastAsia" w:ascii="仿宋_GB2312" w:hAnsi="宋体" w:eastAsia="仿宋_GB2312" w:cs="仿宋_GB2312"/>
                <w:i w:val="0"/>
                <w:iCs w:val="0"/>
                <w:color w:val="000000"/>
                <w:sz w:val="24"/>
                <w:szCs w:val="24"/>
                <w:u w:val="none"/>
              </w:rPr>
            </w:pP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B3AA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地籍测绘、拨地定桩（2010.12.7）</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C11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49810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F62A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DBE72">
            <w:pPr>
              <w:jc w:val="center"/>
              <w:rPr>
                <w:rFonts w:hint="eastAsia" w:ascii="仿宋_GB2312" w:hAnsi="宋体" w:eastAsia="仿宋_GB2312" w:cs="仿宋_GB2312"/>
                <w:i w:val="0"/>
                <w:iCs w:val="0"/>
                <w:color w:val="000000"/>
                <w:sz w:val="24"/>
                <w:szCs w:val="24"/>
                <w:u w:val="none"/>
              </w:rPr>
            </w:pPr>
          </w:p>
        </w:tc>
      </w:tr>
      <w:tr w14:paraId="18B56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D01BE">
            <w:pPr>
              <w:jc w:val="center"/>
              <w:rPr>
                <w:rFonts w:hint="eastAsia" w:ascii="仿宋_GB2312" w:hAnsi="宋体" w:eastAsia="仿宋_GB2312" w:cs="仿宋_GB2312"/>
                <w:i w:val="0"/>
                <w:iCs w:val="0"/>
                <w:color w:val="000000"/>
                <w:sz w:val="24"/>
                <w:szCs w:val="24"/>
                <w:u w:val="none"/>
              </w:rPr>
            </w:pP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C3C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地籍测绘、拨地定桩（补征2011.3.4）</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7C9F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14000 </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3A1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F5F31">
            <w:pPr>
              <w:jc w:val="center"/>
              <w:rPr>
                <w:rFonts w:hint="eastAsia" w:ascii="仿宋_GB2312" w:hAnsi="宋体" w:eastAsia="仿宋_GB2312" w:cs="仿宋_GB2312"/>
                <w:i w:val="0"/>
                <w:iCs w:val="0"/>
                <w:color w:val="000000"/>
                <w:sz w:val="24"/>
                <w:szCs w:val="24"/>
                <w:u w:val="none"/>
              </w:rPr>
            </w:pPr>
          </w:p>
        </w:tc>
      </w:tr>
      <w:tr w14:paraId="69452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7CB5E">
            <w:pPr>
              <w:jc w:val="center"/>
              <w:rPr>
                <w:rFonts w:hint="eastAsia" w:ascii="仿宋_GB2312" w:hAnsi="宋体" w:eastAsia="仿宋_GB2312" w:cs="仿宋_GB2312"/>
                <w:i w:val="0"/>
                <w:iCs w:val="0"/>
                <w:color w:val="000000"/>
                <w:sz w:val="24"/>
                <w:szCs w:val="24"/>
                <w:u w:val="none"/>
              </w:rPr>
            </w:pP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A881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地形图修测</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（穿紫河改道工程2009.12.7）</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E7B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12606 </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583C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5C95C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常德市利群规划咨询服务中心</w:t>
            </w:r>
          </w:p>
        </w:tc>
      </w:tr>
      <w:tr w14:paraId="727A0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0E19C">
            <w:pPr>
              <w:jc w:val="center"/>
              <w:rPr>
                <w:rFonts w:hint="eastAsia" w:ascii="仿宋_GB2312" w:hAnsi="宋体" w:eastAsia="仿宋_GB2312" w:cs="仿宋_GB2312"/>
                <w:i w:val="0"/>
                <w:iCs w:val="0"/>
                <w:color w:val="000000"/>
                <w:sz w:val="24"/>
                <w:szCs w:val="24"/>
                <w:u w:val="none"/>
              </w:rPr>
            </w:pP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E6D8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地形图修测、晒制（2011.1.20）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431D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32355 </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EBCD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-1726 </w:t>
            </w: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C02A4">
            <w:pPr>
              <w:jc w:val="center"/>
              <w:rPr>
                <w:rFonts w:hint="eastAsia" w:ascii="仿宋_GB2312" w:hAnsi="宋体" w:eastAsia="仿宋_GB2312" w:cs="仿宋_GB2312"/>
                <w:i w:val="0"/>
                <w:iCs w:val="0"/>
                <w:color w:val="000000"/>
                <w:sz w:val="24"/>
                <w:szCs w:val="24"/>
                <w:u w:val="none"/>
              </w:rPr>
            </w:pPr>
          </w:p>
        </w:tc>
      </w:tr>
      <w:tr w14:paraId="67669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1076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4 </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BC0C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工程造价咨询费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1E58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220932 </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0A6C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-25679 </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3E9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文件规定系数扣减</w:t>
            </w:r>
          </w:p>
        </w:tc>
      </w:tr>
      <w:tr w14:paraId="2E30E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942D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5 </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6AFB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监理费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EA7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1238037 </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692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A1F7">
            <w:pPr>
              <w:jc w:val="center"/>
              <w:rPr>
                <w:rFonts w:hint="eastAsia" w:ascii="仿宋_GB2312" w:hAnsi="宋体" w:eastAsia="仿宋_GB2312" w:cs="仿宋_GB2312"/>
                <w:i w:val="0"/>
                <w:iCs w:val="0"/>
                <w:color w:val="000000"/>
                <w:sz w:val="24"/>
                <w:szCs w:val="24"/>
                <w:u w:val="none"/>
              </w:rPr>
            </w:pPr>
          </w:p>
        </w:tc>
      </w:tr>
      <w:tr w14:paraId="615EF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99B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6 </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2630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建设单位管理费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C66B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1043609 </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A550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270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超审减率扣减</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（结算25.82%）</w:t>
            </w:r>
          </w:p>
        </w:tc>
      </w:tr>
      <w:tr w14:paraId="11CE3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A37E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7 </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2FA1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第三方结算审核费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FF8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14193 </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86CB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-429 </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C0093">
            <w:pPr>
              <w:jc w:val="center"/>
              <w:rPr>
                <w:rFonts w:hint="eastAsia" w:ascii="仿宋_GB2312" w:hAnsi="宋体" w:eastAsia="仿宋_GB2312" w:cs="仿宋_GB2312"/>
                <w:i w:val="0"/>
                <w:iCs w:val="0"/>
                <w:color w:val="000000"/>
                <w:sz w:val="24"/>
                <w:szCs w:val="24"/>
                <w:u w:val="none"/>
              </w:rPr>
            </w:pPr>
          </w:p>
        </w:tc>
      </w:tr>
      <w:tr w14:paraId="10DEE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4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4B28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  计</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6D86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2874819 </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5089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-62626 </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991B0">
            <w:pPr>
              <w:jc w:val="center"/>
              <w:rPr>
                <w:rFonts w:hint="eastAsia" w:ascii="仿宋_GB2312" w:hAnsi="宋体" w:eastAsia="仿宋_GB2312" w:cs="仿宋_GB2312"/>
                <w:i w:val="0"/>
                <w:iCs w:val="0"/>
                <w:color w:val="000000"/>
                <w:sz w:val="24"/>
                <w:szCs w:val="24"/>
                <w:u w:val="none"/>
              </w:rPr>
            </w:pPr>
          </w:p>
        </w:tc>
      </w:tr>
    </w:tbl>
    <w:p w14:paraId="5F827CBF">
      <w:pPr>
        <w:numPr>
          <w:ilvl w:val="0"/>
          <w:numId w:val="0"/>
        </w:numPr>
        <w:rPr>
          <w:rFonts w:hint="default" w:ascii="方正仿宋_GB2312" w:hAnsi="方正仿宋_GB2312" w:eastAsia="方正仿宋_GB2312" w:cs="方正仿宋_GB2312"/>
          <w:color w:val="0000FF"/>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52AD0A-868C-40E2-871E-E420AB73697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AD9FA7F2-D940-4AEC-8ADC-E011211ACD5B}"/>
  </w:font>
  <w:font w:name="仿宋">
    <w:panose1 w:val="02010609060101010101"/>
    <w:charset w:val="86"/>
    <w:family w:val="modern"/>
    <w:pitch w:val="default"/>
    <w:sig w:usb0="800002BF" w:usb1="38CF7CFA" w:usb2="00000016" w:usb3="00000000" w:csb0="00040001" w:csb1="00000000"/>
    <w:embedRegular r:id="rId3" w:fontKey="{0A5075E8-8EBA-4A3A-9AE8-E2D37CC137E8}"/>
  </w:font>
  <w:font w:name="方正仿宋_GB2312">
    <w:panose1 w:val="02000000000000000000"/>
    <w:charset w:val="86"/>
    <w:family w:val="auto"/>
    <w:pitch w:val="default"/>
    <w:sig w:usb0="A00002BF" w:usb1="184F6CFA" w:usb2="00000012" w:usb3="00000000" w:csb0="00040001" w:csb1="00000000"/>
    <w:embedRegular r:id="rId4" w:fontKey="{0A0E3771-651F-40AB-A36D-2A9892244AC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0A68EE"/>
    <w:rsid w:val="00E60A9C"/>
    <w:rsid w:val="016722DB"/>
    <w:rsid w:val="018A3871"/>
    <w:rsid w:val="09B47E91"/>
    <w:rsid w:val="0A9877F2"/>
    <w:rsid w:val="105977CD"/>
    <w:rsid w:val="122A36D2"/>
    <w:rsid w:val="128C26B2"/>
    <w:rsid w:val="12971BF6"/>
    <w:rsid w:val="13410F5F"/>
    <w:rsid w:val="148F3869"/>
    <w:rsid w:val="14B05B63"/>
    <w:rsid w:val="172A60BA"/>
    <w:rsid w:val="199C719E"/>
    <w:rsid w:val="1E047E0B"/>
    <w:rsid w:val="1EBE4245"/>
    <w:rsid w:val="1FD61FB0"/>
    <w:rsid w:val="20735EB6"/>
    <w:rsid w:val="2227620F"/>
    <w:rsid w:val="243200DD"/>
    <w:rsid w:val="247C7499"/>
    <w:rsid w:val="2AC16437"/>
    <w:rsid w:val="2CFF241A"/>
    <w:rsid w:val="2D636E4D"/>
    <w:rsid w:val="2DB049CA"/>
    <w:rsid w:val="2ED24AE0"/>
    <w:rsid w:val="2F4F6871"/>
    <w:rsid w:val="2F555870"/>
    <w:rsid w:val="2FB03F14"/>
    <w:rsid w:val="30472667"/>
    <w:rsid w:val="32B114F6"/>
    <w:rsid w:val="32B22189"/>
    <w:rsid w:val="342135AD"/>
    <w:rsid w:val="362D681B"/>
    <w:rsid w:val="3774113E"/>
    <w:rsid w:val="3BA50B4A"/>
    <w:rsid w:val="40B7508E"/>
    <w:rsid w:val="44887624"/>
    <w:rsid w:val="45170F2A"/>
    <w:rsid w:val="46A237F2"/>
    <w:rsid w:val="46FD5C82"/>
    <w:rsid w:val="47584DBF"/>
    <w:rsid w:val="49837F30"/>
    <w:rsid w:val="4CB5082B"/>
    <w:rsid w:val="4CC27294"/>
    <w:rsid w:val="4D7B24A3"/>
    <w:rsid w:val="4D8030EB"/>
    <w:rsid w:val="4F8356CE"/>
    <w:rsid w:val="513D15DF"/>
    <w:rsid w:val="54DD333B"/>
    <w:rsid w:val="54EA3F8A"/>
    <w:rsid w:val="57CB7305"/>
    <w:rsid w:val="5922354D"/>
    <w:rsid w:val="5AB65211"/>
    <w:rsid w:val="5B2B24A8"/>
    <w:rsid w:val="5B321748"/>
    <w:rsid w:val="5B9E161C"/>
    <w:rsid w:val="5BE909EC"/>
    <w:rsid w:val="5DFC0275"/>
    <w:rsid w:val="5E2B5A0F"/>
    <w:rsid w:val="5E5F6603"/>
    <w:rsid w:val="60B51595"/>
    <w:rsid w:val="635527B8"/>
    <w:rsid w:val="638D1C65"/>
    <w:rsid w:val="64123611"/>
    <w:rsid w:val="65C27948"/>
    <w:rsid w:val="6A7618A7"/>
    <w:rsid w:val="6C566370"/>
    <w:rsid w:val="6CDB1F80"/>
    <w:rsid w:val="6F4150E2"/>
    <w:rsid w:val="6F8F04BD"/>
    <w:rsid w:val="71F252BC"/>
    <w:rsid w:val="72B64788"/>
    <w:rsid w:val="77D376CA"/>
    <w:rsid w:val="78931CDA"/>
    <w:rsid w:val="7BD26A78"/>
    <w:rsid w:val="7D5E07EC"/>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51"/>
    <w:basedOn w:val="5"/>
    <w:qFormat/>
    <w:uiPriority w:val="0"/>
    <w:rPr>
      <w:rFonts w:hint="eastAsia" w:ascii="仿宋_GB2312" w:eastAsia="仿宋_GB2312" w:cs="仿宋_GB2312"/>
      <w:color w:val="000000"/>
      <w:sz w:val="24"/>
      <w:szCs w:val="24"/>
      <w:u w:val="none"/>
    </w:rPr>
  </w:style>
  <w:style w:type="character" w:customStyle="1" w:styleId="10">
    <w:name w:val="font8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1355</Words>
  <Characters>1570</Characters>
  <Lines>0</Lines>
  <Paragraphs>0</Paragraphs>
  <TotalTime>5</TotalTime>
  <ScaleCrop>false</ScaleCrop>
  <LinksUpToDate>false</LinksUpToDate>
  <CharactersWithSpaces>1609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2026-01-29T02:06:00Z</cp:lastPrinted>
  <dcterms:modified xsi:type="dcterms:W3CDTF">2026-04-10T02:01:33Z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