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439A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sz w:val="32"/>
        </w:rPr>
      </w:pPr>
    </w:p>
    <w:p w14:paraId="2737F83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sz w:val="32"/>
        </w:rPr>
      </w:pPr>
    </w:p>
    <w:p w14:paraId="6EA7F86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sz w:val="32"/>
        </w:rPr>
      </w:pPr>
    </w:p>
    <w:p w14:paraId="58A7433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sz w:val="32"/>
        </w:rPr>
      </w:pPr>
    </w:p>
    <w:p w14:paraId="1250198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sz w:val="32"/>
        </w:rPr>
      </w:pPr>
    </w:p>
    <w:p w14:paraId="5C0D827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sz w:val="32"/>
        </w:rPr>
      </w:pPr>
    </w:p>
    <w:p w14:paraId="44B423A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sz w:val="32"/>
          <w:szCs w:val="32"/>
        </w:rPr>
      </w:pPr>
    </w:p>
    <w:p w14:paraId="5222D636">
      <w:pPr>
        <w:jc w:val="center"/>
        <w:rPr>
          <w:rFonts w:ascii="仿宋_GB2312" w:hAnsi="仿宋_GB2312" w:eastAsia="仿宋_GB2312"/>
          <w:sz w:val="32"/>
        </w:rPr>
      </w:pPr>
      <w:r>
        <w:rPr>
          <w:rFonts w:hint="eastAsia" w:ascii="仿宋_GB2312" w:hAnsi="仿宋_GB2312" w:eastAsia="仿宋_GB2312"/>
          <w:sz w:val="32"/>
        </w:rPr>
        <w:t>常财审〔2026〕结字</w:t>
      </w:r>
      <w:r>
        <w:rPr>
          <w:rFonts w:hint="eastAsia" w:ascii="仿宋_GB2312" w:hAnsi="仿宋_GB2312" w:eastAsia="仿宋_GB2312"/>
          <w:sz w:val="32"/>
          <w:lang w:val="en-US" w:eastAsia="zh-CN"/>
        </w:rPr>
        <w:t>57</w:t>
      </w:r>
      <w:r>
        <w:rPr>
          <w:rFonts w:hint="eastAsia" w:ascii="仿宋_GB2312" w:hAnsi="仿宋_GB2312" w:eastAsia="仿宋_GB2312"/>
          <w:sz w:val="32"/>
        </w:rPr>
        <w:t>号</w:t>
      </w:r>
    </w:p>
    <w:p w14:paraId="000B0BB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宋体" w:hAnsi="宋体" w:cs="宋体"/>
          <w:spacing w:val="20"/>
          <w:sz w:val="44"/>
          <w:szCs w:val="44"/>
        </w:rPr>
      </w:pPr>
    </w:p>
    <w:p w14:paraId="060F2447">
      <w:pPr>
        <w:jc w:val="center"/>
        <w:rPr>
          <w:rFonts w:hint="eastAsia" w:ascii="宋体" w:hAnsi="宋体" w:cs="宋体"/>
          <w:spacing w:val="-11"/>
          <w:sz w:val="44"/>
          <w:szCs w:val="44"/>
        </w:rPr>
      </w:pPr>
      <w:r>
        <w:rPr>
          <w:rFonts w:hint="eastAsia" w:ascii="宋体" w:hAnsi="宋体" w:cs="宋体"/>
          <w:spacing w:val="-11"/>
          <w:sz w:val="44"/>
          <w:szCs w:val="44"/>
        </w:rPr>
        <w:t>关于</w:t>
      </w:r>
      <w:bookmarkStart w:id="0" w:name="OLE_LINK3"/>
      <w:bookmarkStart w:id="1" w:name="OLE_LINK7"/>
      <w:bookmarkStart w:id="2" w:name="OLE_LINK4"/>
      <w:r>
        <w:rPr>
          <w:rFonts w:hint="eastAsia" w:ascii="宋体" w:hAnsi="宋体" w:cs="宋体"/>
          <w:spacing w:val="-11"/>
          <w:sz w:val="44"/>
          <w:szCs w:val="44"/>
        </w:rPr>
        <w:t>万寿路（朗州北路-环湖路）段新建工程</w:t>
      </w:r>
      <w:bookmarkEnd w:id="0"/>
      <w:bookmarkEnd w:id="1"/>
      <w:bookmarkEnd w:id="2"/>
    </w:p>
    <w:p w14:paraId="04ACC7F2">
      <w:pPr>
        <w:jc w:val="center"/>
        <w:rPr>
          <w:rFonts w:ascii="宋体" w:hAnsi="宋体" w:cs="宋体"/>
          <w:sz w:val="44"/>
          <w:szCs w:val="44"/>
        </w:rPr>
      </w:pPr>
      <w:r>
        <w:rPr>
          <w:rFonts w:hint="eastAsia" w:ascii="宋体" w:hAnsi="宋体" w:cs="宋体"/>
          <w:spacing w:val="-11"/>
          <w:sz w:val="44"/>
          <w:szCs w:val="44"/>
        </w:rPr>
        <w:t>服务</w:t>
      </w:r>
      <w:r>
        <w:rPr>
          <w:rFonts w:hint="eastAsia" w:ascii="宋体" w:hAnsi="宋体" w:cs="宋体"/>
          <w:spacing w:val="20"/>
          <w:sz w:val="44"/>
          <w:szCs w:val="44"/>
        </w:rPr>
        <w:t>性前期费</w:t>
      </w:r>
      <w:r>
        <w:rPr>
          <w:rFonts w:hint="eastAsia" w:ascii="宋体" w:hAnsi="宋体" w:cs="宋体"/>
          <w:sz w:val="44"/>
          <w:szCs w:val="44"/>
        </w:rPr>
        <w:t>的评审意见</w:t>
      </w:r>
    </w:p>
    <w:p w14:paraId="3C721322">
      <w:pPr>
        <w:spacing w:line="560" w:lineRule="exact"/>
        <w:ind w:firstLine="1600" w:firstLineChars="500"/>
        <w:rPr>
          <w:rFonts w:ascii="仿宋_GB2312" w:hAnsi="仿宋_GB2312" w:eastAsia="仿宋_GB2312" w:cs="仿宋_GB2312"/>
          <w:sz w:val="32"/>
          <w:szCs w:val="32"/>
        </w:rPr>
      </w:pPr>
    </w:p>
    <w:p w14:paraId="74A95693">
      <w:pPr>
        <w:spacing w:line="560" w:lineRule="exac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常德市融资核算中心：</w:t>
      </w:r>
    </w:p>
    <w:p w14:paraId="62634E4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受你科室委托，根据常德市海绵城市建设投资开发有限公司送审资料，我中心对</w:t>
      </w:r>
      <w:bookmarkStart w:id="3" w:name="OLE_LINK5"/>
      <w:bookmarkStart w:id="4" w:name="OLE_LINK8"/>
      <w:bookmarkStart w:id="5" w:name="OLE_LINK9"/>
      <w:r>
        <w:rPr>
          <w:rFonts w:hint="eastAsia" w:ascii="仿宋_GB2312" w:hAnsi="仿宋_GB2312" w:eastAsia="仿宋_GB2312" w:cs="仿宋_GB2312"/>
          <w:sz w:val="32"/>
          <w:szCs w:val="32"/>
          <w:lang w:val="zh-CN"/>
        </w:rPr>
        <w:t>万寿路（朗州北路-环湖路）段道路工程</w:t>
      </w:r>
      <w:bookmarkEnd w:id="3"/>
      <w:bookmarkEnd w:id="4"/>
      <w:bookmarkEnd w:id="5"/>
      <w:r>
        <w:rPr>
          <w:rFonts w:hint="eastAsia" w:ascii="仿宋_GB2312" w:hAnsi="仿宋_GB2312" w:eastAsia="仿宋_GB2312" w:cs="仿宋_GB2312"/>
          <w:sz w:val="32"/>
          <w:szCs w:val="32"/>
          <w:lang w:val="zh-CN"/>
        </w:rPr>
        <w:t>前期费进行了评价和审查。</w:t>
      </w:r>
    </w:p>
    <w:p w14:paraId="226679E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rPr>
        <w:t>项目立项批复情况</w:t>
      </w:r>
    </w:p>
    <w:p w14:paraId="2B1B1A3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万寿路（沾天湖北环路-环湖路）新建工程由常德市发改委常发改投〔2009〕488号批复立项，项目总批复金额为15970万元，其中工程费8250万元，征地拆迁费5860万元，其它费用1860万元。道路西起沾天湖北环路，东至环湖路，全长3384米。2013年6月常发改投〔2013〕265号调整建设内容，原道路调整为2850米（起止点为金牛路至泉水路），增加一座长100米景观桥梁。调整后投资规模为26631万元。立项批复建设内容分三次在不同时间建设，分别为东段（朗州北路-环湖路）、</w:t>
      </w:r>
      <w:r>
        <w:rPr>
          <w:rFonts w:hint="eastAsia" w:ascii="仿宋_GB2312" w:hAnsi="仿宋_GB2312" w:eastAsia="仿宋_GB2312" w:cs="仿宋_GB2312"/>
          <w:sz w:val="32"/>
          <w:szCs w:val="32"/>
        </w:rPr>
        <w:t>1#桥、</w:t>
      </w:r>
      <w:r>
        <w:rPr>
          <w:rFonts w:hint="eastAsia" w:ascii="仿宋_GB2312" w:hAnsi="仿宋_GB2312" w:eastAsia="仿宋_GB2312" w:cs="仿宋_GB2312"/>
          <w:sz w:val="32"/>
          <w:szCs w:val="32"/>
          <w:lang w:val="zh-CN"/>
        </w:rPr>
        <w:t>西段（金牛路</w:t>
      </w:r>
      <w:r>
        <w:rPr>
          <w:rFonts w:hint="eastAsia" w:ascii="仿宋_GB2312" w:hAnsi="仿宋_GB2312" w:eastAsia="仿宋_GB2312" w:cs="仿宋_GB2312"/>
          <w:sz w:val="32"/>
          <w:szCs w:val="32"/>
        </w:rPr>
        <w:t>-朗州北路</w:t>
      </w:r>
      <w:r>
        <w:rPr>
          <w:rFonts w:hint="eastAsia" w:ascii="仿宋_GB2312" w:hAnsi="仿宋_GB2312" w:eastAsia="仿宋_GB2312" w:cs="仿宋_GB2312"/>
          <w:sz w:val="32"/>
          <w:szCs w:val="32"/>
          <w:lang w:val="zh-CN"/>
        </w:rPr>
        <w:t>）。</w:t>
      </w:r>
    </w:p>
    <w:p w14:paraId="6525FAF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二、</w:t>
      </w:r>
      <w:r>
        <w:rPr>
          <w:rFonts w:hint="eastAsia" w:ascii="黑体" w:hAnsi="黑体" w:eastAsia="黑体" w:cs="黑体"/>
          <w:sz w:val="32"/>
          <w:szCs w:val="32"/>
        </w:rPr>
        <w:t>项目已评审预结算情况（不含征拆，依据建设时间顺序）</w:t>
      </w:r>
    </w:p>
    <w:p w14:paraId="4710ABD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（一）道路东段（</w:t>
      </w:r>
      <w:r>
        <w:rPr>
          <w:rFonts w:hint="eastAsia" w:ascii="仿宋_GB2312" w:hAnsi="仿宋_GB2312" w:eastAsia="仿宋_GB2312" w:cs="仿宋_GB2312"/>
          <w:sz w:val="32"/>
          <w:szCs w:val="32"/>
        </w:rPr>
        <w:t>朗州北路-泉水路</w:t>
      </w:r>
      <w:r>
        <w:rPr>
          <w:rFonts w:hint="eastAsia" w:ascii="仿宋_GB2312" w:hAnsi="仿宋_GB2312" w:eastAsia="仿宋_GB2312" w:cs="仿宋_GB2312"/>
          <w:sz w:val="32"/>
          <w:szCs w:val="32"/>
          <w:lang w:val="zh-CN"/>
        </w:rPr>
        <w:t>），道路全长1885米，标准路幅宽60m。</w:t>
      </w:r>
    </w:p>
    <w:p w14:paraId="10546A2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1.该段道路预算评审范围为</w:t>
      </w:r>
      <w:r>
        <w:rPr>
          <w:rFonts w:hint="eastAsia" w:ascii="仿宋_GB2312" w:hAnsi="仿宋_GB2312" w:eastAsia="仿宋_GB2312" w:cs="仿宋_GB2312"/>
          <w:sz w:val="32"/>
          <w:szCs w:val="32"/>
          <w:lang w:val="zh-CN"/>
        </w:rPr>
        <w:t>朗州北路至环湖路段（全长2300米），评审金额125248873元（常财审〔2011〕预字9号，其中工程费119284641元，不可预见费5964232元）；</w:t>
      </w:r>
    </w:p>
    <w:p w14:paraId="337B9122">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zh-CN"/>
        </w:rPr>
        <w:t>实际施工朗州北路至泉水路段（全长</w:t>
      </w:r>
      <w:r>
        <w:rPr>
          <w:rFonts w:hint="eastAsia" w:ascii="仿宋_GB2312" w:hAnsi="仿宋_GB2312" w:eastAsia="仿宋_GB2312" w:cs="仿宋_GB2312"/>
          <w:sz w:val="32"/>
          <w:szCs w:val="32"/>
        </w:rPr>
        <w:t>1885</w:t>
      </w:r>
      <w:r>
        <w:rPr>
          <w:rFonts w:hint="eastAsia" w:ascii="仿宋_GB2312" w:hAnsi="仿宋_GB2312" w:eastAsia="仿宋_GB2312" w:cs="仿宋_GB2312"/>
          <w:sz w:val="32"/>
          <w:szCs w:val="32"/>
          <w:lang w:val="zh-CN"/>
        </w:rPr>
        <w:t>米），主体工程结算评审金额8</w:t>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zh-CN"/>
        </w:rPr>
        <w:t>940617元（常财审〔2022〕结字211号）。</w:t>
      </w:r>
    </w:p>
    <w:p w14:paraId="2C818116">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本次评审该段部分服务性前期费。</w:t>
      </w:r>
    </w:p>
    <w:p w14:paraId="0549B61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zh-CN"/>
        </w:rPr>
        <w:t>桥，桥梁全长110m，跨径为100m，两幅布置，总宽为60—67.165m，里程范围为K1+669.146—K1+809.146。</w:t>
      </w:r>
    </w:p>
    <w:p w14:paraId="77F35BF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kern w:val="2"/>
          <w:sz w:val="32"/>
          <w:szCs w:val="32"/>
          <w:lang w:val="zh-CN" w:eastAsia="zh-CN" w:bidi="ar-SA"/>
        </w:rPr>
        <w:t>1.</w:t>
      </w:r>
      <w:r>
        <w:rPr>
          <w:rFonts w:hint="eastAsia" w:ascii="仿宋_GB2312" w:hAnsi="仿宋_GB2312" w:eastAsia="仿宋_GB2312" w:cs="仿宋_GB2312"/>
          <w:sz w:val="32"/>
          <w:szCs w:val="32"/>
        </w:rPr>
        <w:t>桥梁工程</w:t>
      </w:r>
      <w:r>
        <w:rPr>
          <w:rFonts w:hint="eastAsia" w:ascii="仿宋_GB2312" w:hAnsi="仿宋_GB2312" w:eastAsia="仿宋_GB2312" w:cs="仿宋_GB2312"/>
          <w:sz w:val="32"/>
          <w:szCs w:val="32"/>
          <w:lang w:val="zh-CN"/>
        </w:rPr>
        <w:t>预算评审金额43924334元（常财审〔2014〕预字131号，其中工程费41832699元，不可预见费2091635元）；</w:t>
      </w:r>
    </w:p>
    <w:p w14:paraId="419E5A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sz w:val="32"/>
          <w:szCs w:val="32"/>
          <w:lang w:val="zh-CN"/>
        </w:rPr>
        <w:t>桥梁前期费预算评审金额3981318元（常财审〔2014〕预字625号）；</w:t>
      </w:r>
    </w:p>
    <w:p w14:paraId="32668C5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sz w:val="32"/>
          <w:szCs w:val="32"/>
          <w:lang w:val="zh-CN"/>
        </w:rPr>
        <w:t>桥梁部分前期费结算评审金额852078元（常财审〔2025〕结字178号）。</w:t>
      </w:r>
    </w:p>
    <w:p w14:paraId="2A0E4E3F">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桥梁主体工程未结算。</w:t>
      </w:r>
    </w:p>
    <w:p w14:paraId="4F2D5EA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（三）道路西段（金牛路</w:t>
      </w:r>
      <w:r>
        <w:rPr>
          <w:rFonts w:hint="eastAsia" w:ascii="仿宋_GB2312" w:hAnsi="仿宋_GB2312" w:eastAsia="仿宋_GB2312" w:cs="仿宋_GB2312"/>
          <w:sz w:val="32"/>
          <w:szCs w:val="32"/>
        </w:rPr>
        <w:t>-朗州北路</w:t>
      </w:r>
      <w:r>
        <w:rPr>
          <w:rFonts w:hint="eastAsia" w:ascii="仿宋_GB2312" w:hAnsi="仿宋_GB2312" w:eastAsia="仿宋_GB2312" w:cs="仿宋_GB2312"/>
          <w:sz w:val="32"/>
          <w:szCs w:val="32"/>
          <w:lang w:val="zh-CN"/>
        </w:rPr>
        <w:t>），道路全长965.066m，标准路幅宽60m。</w:t>
      </w:r>
    </w:p>
    <w:p w14:paraId="2A264E8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zh-CN"/>
        </w:rPr>
        <w:t>工程预算评审金额59688264元（常财审〔2015〕预字399号，其中工程费53302683元，不可预见费2665134元，前期费3720447元）</w:t>
      </w:r>
      <w:r>
        <w:rPr>
          <w:rFonts w:hint="eastAsia" w:ascii="仿宋_GB2312" w:hAnsi="仿宋_GB2312" w:eastAsia="仿宋_GB2312" w:cs="仿宋_GB2312"/>
          <w:sz w:val="32"/>
          <w:szCs w:val="32"/>
        </w:rPr>
        <w:t>；</w:t>
      </w:r>
    </w:p>
    <w:p w14:paraId="4D6039CF">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2.工程</w:t>
      </w:r>
      <w:r>
        <w:rPr>
          <w:rFonts w:hint="eastAsia" w:ascii="仿宋_GB2312" w:hAnsi="仿宋_GB2312" w:eastAsia="仿宋_GB2312" w:cs="仿宋_GB2312"/>
          <w:sz w:val="32"/>
          <w:szCs w:val="32"/>
          <w:lang w:val="zh-CN"/>
        </w:rPr>
        <w:t>结算审计金额52195880元（常审投报〔2018〕33号）；</w:t>
      </w:r>
    </w:p>
    <w:p w14:paraId="47B4739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zh-CN"/>
        </w:rPr>
        <w:t>前期费结算评审金额3530142元（常财审〔2023〕结字69号，其中包含立项批复全段水土保持方案编制费12万元，未计算环境影响报告书编制费和可行性研究报告编制费）。</w:t>
      </w:r>
    </w:p>
    <w:p w14:paraId="4B63580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黑体" w:hAnsi="黑体" w:eastAsia="黑体" w:cs="黑体"/>
          <w:sz w:val="32"/>
          <w:szCs w:val="32"/>
        </w:rPr>
      </w:pPr>
      <w:r>
        <w:rPr>
          <w:rFonts w:hint="eastAsia" w:ascii="黑体" w:hAnsi="黑体" w:eastAsia="黑体" w:cs="黑体"/>
          <w:sz w:val="32"/>
          <w:szCs w:val="32"/>
        </w:rPr>
        <w:t>三、本次送审情况</w:t>
      </w:r>
    </w:p>
    <w:p w14:paraId="19BAD99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本次送审朗州北路至泉水路段工程服务性前期费，评审编号X202551号。主要包括</w:t>
      </w:r>
      <w:bookmarkStart w:id="6" w:name="OLE_LINK12"/>
      <w:r>
        <w:rPr>
          <w:rFonts w:hint="eastAsia" w:ascii="仿宋_GB2312" w:hAnsi="仿宋_GB2312" w:eastAsia="仿宋_GB2312" w:cs="仿宋_GB2312"/>
          <w:sz w:val="32"/>
          <w:szCs w:val="32"/>
          <w:lang w:val="zh-CN"/>
        </w:rPr>
        <w:t>环境影响报告书编制费、测绘费、监理费、造价咨询费、设计费、</w:t>
      </w:r>
      <w:bookmarkEnd w:id="6"/>
      <w:r>
        <w:rPr>
          <w:rFonts w:hint="eastAsia" w:ascii="仿宋_GB2312" w:hAnsi="仿宋_GB2312" w:eastAsia="仿宋_GB2312" w:cs="仿宋_GB2312"/>
          <w:sz w:val="32"/>
          <w:szCs w:val="32"/>
          <w:lang w:val="zh-CN"/>
        </w:rPr>
        <w:t>建设单位管理费等。</w:t>
      </w:r>
    </w:p>
    <w:p w14:paraId="473A075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黑体" w:hAnsi="黑体" w:eastAsia="黑体" w:cs="黑体"/>
          <w:sz w:val="32"/>
          <w:szCs w:val="32"/>
        </w:rPr>
      </w:pPr>
      <w:r>
        <w:rPr>
          <w:rFonts w:hint="eastAsia" w:ascii="黑体" w:hAnsi="黑体" w:eastAsia="黑体" w:cs="黑体"/>
          <w:sz w:val="32"/>
          <w:szCs w:val="32"/>
        </w:rPr>
        <w:t>四、存在的问题</w:t>
      </w:r>
    </w:p>
    <w:p w14:paraId="3B6D5D6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1.环境影响评价报告编制费、监理费未按国家和地方文件标准计算；</w:t>
      </w:r>
    </w:p>
    <w:p w14:paraId="7B25E756">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val="zh-CN"/>
        </w:rPr>
        <w:t>造价咨询费未按合同约定计算，超付问题业主自负；</w:t>
      </w:r>
    </w:p>
    <w:p w14:paraId="5BD826CF">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zh-CN"/>
        </w:rPr>
        <w:t>本段道路未实施部分应扣减设计后续服务费。</w:t>
      </w:r>
    </w:p>
    <w:p w14:paraId="51AB938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黑体" w:hAnsi="黑体" w:eastAsia="黑体" w:cs="黑体"/>
          <w:sz w:val="32"/>
          <w:szCs w:val="32"/>
        </w:rPr>
      </w:pPr>
      <w:r>
        <w:rPr>
          <w:rFonts w:hint="eastAsia" w:ascii="黑体" w:hAnsi="黑体" w:eastAsia="黑体" w:cs="黑体"/>
          <w:sz w:val="32"/>
          <w:szCs w:val="32"/>
        </w:rPr>
        <w:t>五、评审意见</w:t>
      </w:r>
    </w:p>
    <w:p w14:paraId="51DC073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该服务性前期费</w:t>
      </w:r>
      <w:r>
        <w:rPr>
          <w:rFonts w:hint="eastAsia" w:ascii="仿宋_GB2312" w:hAnsi="仿宋_GB2312" w:eastAsia="仿宋_GB2312" w:cs="仿宋_GB2312"/>
          <w:sz w:val="32"/>
          <w:szCs w:val="32"/>
        </w:rPr>
        <w:t>报</w:t>
      </w:r>
      <w:r>
        <w:rPr>
          <w:rFonts w:hint="eastAsia" w:ascii="仿宋_GB2312" w:hAnsi="仿宋_GB2312" w:eastAsia="仿宋_GB2312" w:cs="仿宋_GB2312"/>
          <w:sz w:val="32"/>
          <w:szCs w:val="32"/>
          <w:lang w:val="zh-CN"/>
        </w:rPr>
        <w:t>送</w:t>
      </w:r>
      <w:r>
        <w:rPr>
          <w:rFonts w:hint="eastAsia" w:ascii="仿宋_GB2312" w:hAnsi="仿宋_GB2312" w:eastAsia="仿宋_GB2312" w:cs="仿宋_GB2312"/>
          <w:sz w:val="32"/>
          <w:szCs w:val="32"/>
        </w:rPr>
        <w:t>评</w:t>
      </w:r>
      <w:r>
        <w:rPr>
          <w:rFonts w:hint="eastAsia" w:ascii="仿宋_GB2312" w:hAnsi="仿宋_GB2312" w:eastAsia="仿宋_GB2312" w:cs="仿宋_GB2312"/>
          <w:sz w:val="32"/>
          <w:szCs w:val="32"/>
          <w:lang w:val="zh-CN"/>
        </w:rPr>
        <w:t>审金额</w:t>
      </w:r>
      <w:r>
        <w:rPr>
          <w:rFonts w:hint="eastAsia" w:ascii="仿宋_GB2312" w:hAnsi="仿宋_GB2312" w:eastAsia="仿宋_GB2312" w:cs="仿宋_GB2312"/>
          <w:sz w:val="32"/>
          <w:szCs w:val="32"/>
        </w:rPr>
        <w:t>（第三方审核金额）3796596元，评审发现问题</w:t>
      </w:r>
      <w:r>
        <w:rPr>
          <w:rFonts w:hint="eastAsia" w:ascii="仿宋_GB2312" w:hAnsi="仿宋_GB2312" w:eastAsia="仿宋_GB2312" w:cs="仿宋_GB2312"/>
          <w:sz w:val="32"/>
          <w:szCs w:val="32"/>
          <w:lang w:val="zh-CN"/>
        </w:rPr>
        <w:t>金额</w:t>
      </w:r>
      <w:r>
        <w:rPr>
          <w:rFonts w:hint="eastAsia" w:ascii="仿宋_GB2312" w:hAnsi="仿宋_GB2312" w:eastAsia="仿宋_GB2312" w:cs="仿宋_GB2312"/>
          <w:sz w:val="32"/>
          <w:szCs w:val="32"/>
        </w:rPr>
        <w:t>137512</w:t>
      </w:r>
      <w:r>
        <w:rPr>
          <w:rFonts w:hint="eastAsia" w:ascii="仿宋_GB2312" w:hAnsi="仿宋_GB2312" w:eastAsia="仿宋_GB2312" w:cs="仿宋_GB2312"/>
          <w:sz w:val="32"/>
          <w:szCs w:val="32"/>
          <w:lang w:val="zh-CN"/>
        </w:rPr>
        <w:t>元（详见附表）。</w:t>
      </w:r>
    </w:p>
    <w:p w14:paraId="3A81D9B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黑体" w:hAnsi="黑体" w:eastAsia="黑体" w:cs="黑体"/>
          <w:sz w:val="32"/>
          <w:szCs w:val="32"/>
        </w:rPr>
        <w:t xml:space="preserve">六、有关说明 </w:t>
      </w:r>
    </w:p>
    <w:p w14:paraId="3D48147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1.根据常德市海绵城市建设开发有限公司《关于调整项目送审金额的请示》，送审金额由5892582元调整为3796596元；</w:t>
      </w:r>
    </w:p>
    <w:p w14:paraId="147F7B32">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2.建设单位管理费以结算审定工程费为计算基数，劳保基金凭缴纳票据直接列入项目决算成本；</w:t>
      </w:r>
    </w:p>
    <w:p w14:paraId="58ECBE6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3.监理费因建设单位未提供招标文件，本次评审按常财办发</w:t>
      </w:r>
      <w:r>
        <w:rPr>
          <w:rFonts w:hint="eastAsia" w:ascii="仿宋_GB2312" w:hAnsi="仿宋_GB2312" w:eastAsia="仿宋_GB2312" w:cs="仿宋_GB2312"/>
          <w:sz w:val="32"/>
          <w:szCs w:val="32"/>
          <w:lang w:val="zh-CN"/>
        </w:rPr>
        <w:t>〔2010〕19号文规定计算监理费支出上限，建设单位实际支付金额应执行投标优惠率，以实际发生额列入决算成本；</w:t>
      </w:r>
    </w:p>
    <w:p w14:paraId="24303BC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4.本道路立项批复范围内水土保持方案编制费已计入万寿路西段建设成本内（</w:t>
      </w:r>
      <w:r>
        <w:rPr>
          <w:rFonts w:hint="eastAsia" w:ascii="仿宋_GB2312" w:hAnsi="仿宋_GB2312" w:eastAsia="仿宋_GB2312" w:cs="仿宋_GB2312"/>
          <w:sz w:val="32"/>
          <w:szCs w:val="32"/>
          <w:lang w:val="zh-CN"/>
        </w:rPr>
        <w:t>常财审〔2023〕结字69号</w:t>
      </w:r>
      <w:r>
        <w:rPr>
          <w:rFonts w:hint="eastAsia" w:ascii="仿宋_GB2312" w:hAnsi="仿宋_GB2312" w:eastAsia="仿宋_GB2312" w:cs="仿宋_GB2312"/>
          <w:sz w:val="32"/>
          <w:szCs w:val="32"/>
        </w:rPr>
        <w:t>）；</w:t>
      </w:r>
    </w:p>
    <w:p w14:paraId="3198833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5.根据送审资料显示，该段工程建设全部服务性前期费已清理完毕。除本次已审结费用外，工程测量费、勘察勘探费、工程检测费、施工图审查费因资料不全，可行性研究报告编制费因无法联系服务单位，本次均未送审；</w:t>
      </w:r>
    </w:p>
    <w:p w14:paraId="08FF4FD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6.本项目送审资料经项目单位整理收集、主管部门审核、资金管理科室签批，评审中心根据送审资料进行评价和审查，不对资料真实性和完整性、合规性等负责；</w:t>
      </w:r>
    </w:p>
    <w:p w14:paraId="7B97A825">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7.对纳入审计监督范围项目，业主单位应及时将完整的结算竣工资料报送市审计局，并积极主动配合审计监督工作，后续如因资料增加或缺失、内容变更造成的费用调整，由业主单位自行负责。</w:t>
      </w:r>
    </w:p>
    <w:p w14:paraId="1F61ECDA">
      <w:pPr>
        <w:pStyle w:val="8"/>
        <w:spacing w:line="560" w:lineRule="exact"/>
        <w:ind w:firstLine="4480" w:firstLineChars="1400"/>
        <w:rPr>
          <w:rFonts w:hint="eastAsia" w:ascii="仿宋_GB2312" w:hAnsi="仿宋_GB2312" w:eastAsia="仿宋_GB2312" w:cs="仿宋_GB2312"/>
          <w:sz w:val="32"/>
          <w:szCs w:val="32"/>
        </w:rPr>
      </w:pPr>
    </w:p>
    <w:p w14:paraId="27DC725C">
      <w:pPr>
        <w:pStyle w:val="8"/>
        <w:spacing w:line="560" w:lineRule="exact"/>
        <w:ind w:firstLine="4480" w:firstLineChars="1400"/>
        <w:rPr>
          <w:rFonts w:hint="eastAsia" w:ascii="仿宋_GB2312" w:hAnsi="仿宋_GB2312" w:eastAsia="仿宋_GB2312" w:cs="仿宋_GB2312"/>
          <w:sz w:val="32"/>
          <w:szCs w:val="32"/>
        </w:rPr>
      </w:pPr>
    </w:p>
    <w:p w14:paraId="6C15EEC0">
      <w:pPr>
        <w:pStyle w:val="8"/>
        <w:spacing w:line="560" w:lineRule="exact"/>
        <w:ind w:firstLine="4480" w:firstLineChars="1400"/>
        <w:rPr>
          <w:rFonts w:hint="eastAsia" w:ascii="仿宋_GB2312" w:hAnsi="仿宋_GB2312" w:eastAsia="仿宋_GB2312" w:cs="仿宋_GB2312"/>
          <w:sz w:val="32"/>
          <w:szCs w:val="32"/>
        </w:rPr>
      </w:pPr>
    </w:p>
    <w:p w14:paraId="40F29288">
      <w:pPr>
        <w:pStyle w:val="8"/>
        <w:spacing w:line="560" w:lineRule="exact"/>
        <w:ind w:firstLine="4480" w:firstLineChars="1400"/>
        <w:rPr>
          <w:rFonts w:ascii="仿宋_GB2312" w:hAnsi="仿宋_GB2312" w:eastAsia="仿宋_GB2312" w:cs="仿宋_GB2312"/>
          <w:sz w:val="32"/>
          <w:szCs w:val="32"/>
        </w:rPr>
      </w:pPr>
      <w:bookmarkStart w:id="9" w:name="_GoBack"/>
      <w:bookmarkEnd w:id="9"/>
      <w:r>
        <w:rPr>
          <w:rFonts w:hint="eastAsia" w:ascii="仿宋_GB2312" w:hAnsi="仿宋_GB2312" w:eastAsia="仿宋_GB2312" w:cs="仿宋_GB2312"/>
          <w:sz w:val="32"/>
          <w:szCs w:val="32"/>
        </w:rPr>
        <w:t>常德市财政局投资评审中心</w:t>
      </w:r>
    </w:p>
    <w:p w14:paraId="4D2B0CAB">
      <w:pPr>
        <w:spacing w:line="560" w:lineRule="exact"/>
        <w:ind w:firstLine="5120" w:firstLineChars="16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日</w:t>
      </w:r>
    </w:p>
    <w:p w14:paraId="02E89023">
      <w:pPr>
        <w:rPr>
          <w:rFonts w:ascii="仿宋_GB2312" w:hAnsi="仿宋_GB2312" w:eastAsia="仿宋_GB2312" w:cs="仿宋_GB2312"/>
          <w:sz w:val="32"/>
          <w:szCs w:val="32"/>
        </w:rPr>
      </w:pPr>
      <w:r>
        <w:rPr>
          <w:rFonts w:hint="eastAsia" w:ascii="仿宋_GB2312" w:hAnsi="仿宋_GB2312" w:eastAsia="仿宋_GB2312" w:cs="仿宋_GB2312"/>
          <w:sz w:val="32"/>
          <w:szCs w:val="32"/>
        </w:rPr>
        <w:t>附表</w:t>
      </w:r>
    </w:p>
    <w:tbl>
      <w:tblPr>
        <w:tblStyle w:val="5"/>
        <w:tblW w:w="9086" w:type="dxa"/>
        <w:jc w:val="center"/>
        <w:tblLayout w:type="autofit"/>
        <w:tblCellMar>
          <w:top w:w="0" w:type="dxa"/>
          <w:left w:w="108" w:type="dxa"/>
          <w:bottom w:w="0" w:type="dxa"/>
          <w:right w:w="108" w:type="dxa"/>
        </w:tblCellMar>
      </w:tblPr>
      <w:tblGrid>
        <w:gridCol w:w="744"/>
        <w:gridCol w:w="2450"/>
        <w:gridCol w:w="2362"/>
        <w:gridCol w:w="1359"/>
        <w:gridCol w:w="2171"/>
      </w:tblGrid>
      <w:tr w14:paraId="542B980D">
        <w:tblPrEx>
          <w:tblCellMar>
            <w:top w:w="0" w:type="dxa"/>
            <w:left w:w="108" w:type="dxa"/>
            <w:bottom w:w="0" w:type="dxa"/>
            <w:right w:w="108" w:type="dxa"/>
          </w:tblCellMar>
        </w:tblPrEx>
        <w:trPr>
          <w:trHeight w:val="520" w:hRule="atLeast"/>
          <w:jc w:val="center"/>
        </w:trPr>
        <w:tc>
          <w:tcPr>
            <w:tcW w:w="9086" w:type="dxa"/>
            <w:gridSpan w:val="5"/>
            <w:tcBorders>
              <w:top w:val="nil"/>
              <w:left w:val="nil"/>
              <w:bottom w:val="nil"/>
              <w:right w:val="nil"/>
            </w:tcBorders>
            <w:shd w:val="clear" w:color="auto" w:fill="auto"/>
          </w:tcPr>
          <w:p w14:paraId="1655A1AD">
            <w:pPr>
              <w:widowControl/>
              <w:jc w:val="center"/>
              <w:textAlignment w:val="top"/>
              <w:rPr>
                <w:rFonts w:hint="eastAsia" w:ascii="宋体" w:hAnsi="宋体" w:cs="宋体"/>
                <w:color w:val="000000"/>
                <w:kern w:val="0"/>
                <w:sz w:val="44"/>
                <w:szCs w:val="44"/>
              </w:rPr>
            </w:pPr>
            <w:r>
              <w:rPr>
                <w:rFonts w:hint="eastAsia" w:ascii="宋体" w:hAnsi="宋体" w:cs="宋体"/>
                <w:color w:val="000000"/>
                <w:kern w:val="0"/>
                <w:sz w:val="44"/>
                <w:szCs w:val="44"/>
              </w:rPr>
              <w:t>万寿路（朗州北路-环湖路）新建工程服务性</w:t>
            </w:r>
          </w:p>
          <w:p w14:paraId="48CC77A9">
            <w:pPr>
              <w:widowControl/>
              <w:jc w:val="center"/>
              <w:textAlignment w:val="top"/>
              <w:rPr>
                <w:rFonts w:ascii="宋体" w:hAnsi="宋体" w:cs="宋体"/>
                <w:color w:val="000000"/>
                <w:kern w:val="0"/>
                <w:sz w:val="40"/>
                <w:szCs w:val="40"/>
              </w:rPr>
            </w:pPr>
            <w:r>
              <w:rPr>
                <w:rFonts w:hint="eastAsia" w:ascii="宋体" w:hAnsi="宋体" w:cs="宋体"/>
                <w:color w:val="000000"/>
                <w:kern w:val="0"/>
                <w:sz w:val="44"/>
                <w:szCs w:val="44"/>
              </w:rPr>
              <w:t>前期费发现问题情况汇总表</w:t>
            </w:r>
          </w:p>
        </w:tc>
      </w:tr>
      <w:tr w14:paraId="060DD781">
        <w:tblPrEx>
          <w:tblCellMar>
            <w:top w:w="0" w:type="dxa"/>
            <w:left w:w="108" w:type="dxa"/>
            <w:bottom w:w="0" w:type="dxa"/>
            <w:right w:w="108" w:type="dxa"/>
          </w:tblCellMar>
        </w:tblPrEx>
        <w:trPr>
          <w:trHeight w:val="420" w:hRule="atLeast"/>
          <w:jc w:val="center"/>
        </w:trPr>
        <w:tc>
          <w:tcPr>
            <w:tcW w:w="9086" w:type="dxa"/>
            <w:gridSpan w:val="5"/>
            <w:tcBorders>
              <w:top w:val="nil"/>
              <w:left w:val="nil"/>
              <w:bottom w:val="nil"/>
              <w:right w:val="nil"/>
            </w:tcBorders>
            <w:shd w:val="clear" w:color="auto" w:fill="auto"/>
            <w:vAlign w:val="center"/>
          </w:tcPr>
          <w:p w14:paraId="48153B8F">
            <w:pPr>
              <w:widowControl/>
              <w:jc w:val="right"/>
              <w:textAlignment w:val="center"/>
              <w:rPr>
                <w:rFonts w:ascii="仿宋_GB2312" w:hAnsi="Arial" w:eastAsia="仿宋_GB2312" w:cs="仿宋_GB2312"/>
                <w:color w:val="000000"/>
                <w:sz w:val="24"/>
              </w:rPr>
            </w:pPr>
            <w:r>
              <w:rPr>
                <w:rFonts w:hint="eastAsia" w:ascii="仿宋_GB2312" w:hAnsi="Arial" w:eastAsia="仿宋_GB2312" w:cs="仿宋_GB2312"/>
                <w:color w:val="000000"/>
                <w:kern w:val="0"/>
                <w:sz w:val="24"/>
              </w:rPr>
              <w:t>单位：元</w:t>
            </w:r>
          </w:p>
        </w:tc>
      </w:tr>
      <w:tr w14:paraId="346E6F8E">
        <w:tblPrEx>
          <w:tblCellMar>
            <w:top w:w="0" w:type="dxa"/>
            <w:left w:w="108" w:type="dxa"/>
            <w:bottom w:w="0" w:type="dxa"/>
            <w:right w:w="108" w:type="dxa"/>
          </w:tblCellMar>
        </w:tblPrEx>
        <w:trPr>
          <w:trHeight w:val="567" w:hRule="atLeast"/>
          <w:jc w:val="center"/>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D0B5F">
            <w:pPr>
              <w:spacing w:line="360" w:lineRule="auto"/>
              <w:jc w:val="center"/>
              <w:rPr>
                <w:rFonts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序号</w:t>
            </w: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DA390">
            <w:pPr>
              <w:spacing w:line="360" w:lineRule="auto"/>
              <w:jc w:val="center"/>
              <w:rPr>
                <w:rFonts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项目名称</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ED710">
            <w:pPr>
              <w:spacing w:line="360" w:lineRule="auto"/>
              <w:jc w:val="center"/>
              <w:rPr>
                <w:rFonts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报送评审金额</w:t>
            </w:r>
            <w:r>
              <w:rPr>
                <w:rFonts w:hint="eastAsia" w:ascii="仿宋_GB2312" w:hAnsi="仿宋_GB2312" w:eastAsia="仿宋_GB2312" w:cs="仿宋_GB2312"/>
                <w:b/>
                <w:color w:val="auto"/>
                <w:sz w:val="24"/>
                <w:szCs w:val="24"/>
              </w:rPr>
              <w:br w:type="textWrapping"/>
            </w:r>
            <w:r>
              <w:rPr>
                <w:rFonts w:hint="eastAsia" w:ascii="仿宋_GB2312" w:hAnsi="仿宋_GB2312" w:eastAsia="仿宋_GB2312" w:cs="仿宋_GB2312"/>
                <w:b/>
                <w:color w:val="auto"/>
                <w:sz w:val="24"/>
                <w:szCs w:val="24"/>
              </w:rPr>
              <w:t>（第三方审核金额）</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E3146">
            <w:pPr>
              <w:spacing w:line="360" w:lineRule="auto"/>
              <w:jc w:val="center"/>
              <w:rPr>
                <w:rFonts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评审发现问题金额</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AF465">
            <w:pPr>
              <w:spacing w:line="360" w:lineRule="auto"/>
              <w:jc w:val="center"/>
              <w:rPr>
                <w:rFonts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 xml:space="preserve">备 </w:t>
            </w:r>
            <w:r>
              <w:rPr>
                <w:rFonts w:hint="eastAsia" w:ascii="仿宋_GB2312" w:hAnsi="仿宋_GB2312" w:eastAsia="仿宋_GB2312" w:cs="仿宋_GB2312"/>
                <w:b/>
                <w:color w:val="auto"/>
                <w:sz w:val="24"/>
                <w:szCs w:val="24"/>
                <w:lang w:val="en-US" w:eastAsia="zh-CN"/>
              </w:rPr>
              <w:t xml:space="preserve"> </w:t>
            </w:r>
            <w:r>
              <w:rPr>
                <w:rFonts w:hint="eastAsia" w:ascii="仿宋_GB2312" w:hAnsi="仿宋_GB2312" w:eastAsia="仿宋_GB2312" w:cs="仿宋_GB2312"/>
                <w:b/>
                <w:color w:val="auto"/>
                <w:sz w:val="24"/>
                <w:szCs w:val="24"/>
              </w:rPr>
              <w:t>注</w:t>
            </w:r>
          </w:p>
        </w:tc>
      </w:tr>
      <w:tr w14:paraId="543D2FF3">
        <w:tblPrEx>
          <w:tblCellMar>
            <w:top w:w="0" w:type="dxa"/>
            <w:left w:w="108" w:type="dxa"/>
            <w:bottom w:w="0" w:type="dxa"/>
            <w:right w:w="108" w:type="dxa"/>
          </w:tblCellMar>
        </w:tblPrEx>
        <w:trPr>
          <w:trHeight w:val="567" w:hRule="atLeast"/>
          <w:jc w:val="center"/>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4807E">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00E9D">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环境影响报告书编制费</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C382C">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113000</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830FB">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-38548</w:t>
            </w:r>
          </w:p>
        </w:tc>
        <w:tc>
          <w:tcPr>
            <w:tcW w:w="2171" w:type="dxa"/>
            <w:tcBorders>
              <w:top w:val="single" w:color="000000" w:sz="4" w:space="0"/>
              <w:left w:val="single" w:color="000000" w:sz="4" w:space="0"/>
              <w:right w:val="single" w:color="000000" w:sz="4" w:space="0"/>
            </w:tcBorders>
            <w:shd w:val="clear" w:color="auto" w:fill="auto"/>
            <w:vAlign w:val="center"/>
          </w:tcPr>
          <w:p w14:paraId="7E454CB5">
            <w:pPr>
              <w:jc w:val="center"/>
              <w:rPr>
                <w:rFonts w:ascii="仿宋_GB2312" w:hAnsi="仿宋_GB2312" w:eastAsia="仿宋_GB2312" w:cs="仿宋_GB2312"/>
                <w:color w:val="auto"/>
                <w:sz w:val="24"/>
                <w:szCs w:val="24"/>
              </w:rPr>
            </w:pPr>
            <w:r>
              <w:rPr>
                <w:rFonts w:hint="eastAsia" w:ascii="仿宋_GB2312" w:eastAsia="仿宋_GB2312" w:cs="Arial"/>
                <w:color w:val="auto"/>
                <w:sz w:val="24"/>
                <w:szCs w:val="24"/>
                <w:lang w:val="zh-CN"/>
              </w:rPr>
              <w:t>沾天湖北环路-环湖路</w:t>
            </w:r>
            <w:r>
              <w:rPr>
                <w:rFonts w:hint="eastAsia" w:ascii="仿宋_GB2312" w:eastAsia="仿宋_GB2312" w:cs="Arial"/>
                <w:color w:val="auto"/>
                <w:sz w:val="24"/>
                <w:szCs w:val="24"/>
              </w:rPr>
              <w:t>全段</w:t>
            </w:r>
          </w:p>
        </w:tc>
      </w:tr>
      <w:tr w14:paraId="5DF3D225">
        <w:tblPrEx>
          <w:tblCellMar>
            <w:top w:w="0" w:type="dxa"/>
            <w:left w:w="108" w:type="dxa"/>
            <w:bottom w:w="0" w:type="dxa"/>
            <w:right w:w="108" w:type="dxa"/>
          </w:tblCellMar>
        </w:tblPrEx>
        <w:trPr>
          <w:trHeight w:val="567" w:hRule="atLeast"/>
          <w:jc w:val="center"/>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22F3C">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CAAC4">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测绘费（地籍测绘、拨地定桩、清绘）</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61170">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176210</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A0C7D">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0</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71A9E">
            <w:pPr>
              <w:jc w:val="center"/>
              <w:rPr>
                <w:rFonts w:ascii="仿宋_GB2312" w:hAnsi="宋体" w:eastAsia="仿宋_GB2312" w:cs="Arial"/>
                <w:color w:val="auto"/>
                <w:sz w:val="24"/>
                <w:szCs w:val="24"/>
              </w:rPr>
            </w:pPr>
            <w:r>
              <w:rPr>
                <w:rFonts w:hint="eastAsia" w:ascii="仿宋_GB2312" w:eastAsia="仿宋_GB2312" w:cs="Arial"/>
                <w:color w:val="auto"/>
                <w:sz w:val="24"/>
                <w:szCs w:val="24"/>
              </w:rPr>
              <w:t>朗州北路至环湖路段，市国土资源规划测绘院</w:t>
            </w:r>
          </w:p>
        </w:tc>
      </w:tr>
      <w:tr w14:paraId="2EA351FC">
        <w:tblPrEx>
          <w:tblCellMar>
            <w:top w:w="0" w:type="dxa"/>
            <w:left w:w="108" w:type="dxa"/>
            <w:bottom w:w="0" w:type="dxa"/>
            <w:right w:w="108" w:type="dxa"/>
          </w:tblCellMar>
        </w:tblPrEx>
        <w:trPr>
          <w:trHeight w:val="487" w:hRule="atLeast"/>
          <w:jc w:val="center"/>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19C46">
            <w:pPr>
              <w:widowControl/>
              <w:ind w:left="0" w:leftChars="0" w:right="0" w:rightChars="0" w:firstLine="0" w:firstLineChars="0"/>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⑴</w:t>
            </w: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2A453">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清绘费</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460E8">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300</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19F3C">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0</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54C1D">
            <w:pPr>
              <w:jc w:val="center"/>
              <w:rPr>
                <w:rFonts w:ascii="仿宋_GB2312" w:eastAsia="仿宋_GB2312" w:cs="Arial"/>
                <w:color w:val="auto"/>
                <w:sz w:val="24"/>
                <w:szCs w:val="24"/>
              </w:rPr>
            </w:pPr>
          </w:p>
        </w:tc>
      </w:tr>
      <w:tr w14:paraId="06FDD5AB">
        <w:tblPrEx>
          <w:tblCellMar>
            <w:top w:w="0" w:type="dxa"/>
            <w:left w:w="108" w:type="dxa"/>
            <w:bottom w:w="0" w:type="dxa"/>
            <w:right w:w="108" w:type="dxa"/>
          </w:tblCellMar>
        </w:tblPrEx>
        <w:trPr>
          <w:trHeight w:val="497" w:hRule="atLeast"/>
          <w:jc w:val="center"/>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EBEB4">
            <w:pPr>
              <w:widowControl/>
              <w:ind w:left="0" w:leftChars="0" w:right="0" w:rightChars="0" w:firstLine="0" w:firstLineChars="0"/>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⑵</w:t>
            </w: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3D1BC">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清绘费</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24D84">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300</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B4345">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0</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43021">
            <w:pPr>
              <w:jc w:val="center"/>
              <w:rPr>
                <w:rFonts w:ascii="仿宋_GB2312" w:eastAsia="仿宋_GB2312" w:cs="Arial"/>
                <w:color w:val="auto"/>
                <w:sz w:val="24"/>
                <w:szCs w:val="24"/>
              </w:rPr>
            </w:pPr>
          </w:p>
        </w:tc>
      </w:tr>
      <w:tr w14:paraId="291C1279">
        <w:tblPrEx>
          <w:tblCellMar>
            <w:top w:w="0" w:type="dxa"/>
            <w:left w:w="108" w:type="dxa"/>
            <w:bottom w:w="0" w:type="dxa"/>
            <w:right w:w="108" w:type="dxa"/>
          </w:tblCellMar>
        </w:tblPrEx>
        <w:trPr>
          <w:trHeight w:val="567" w:hRule="atLeast"/>
          <w:jc w:val="center"/>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AEBF5">
            <w:pPr>
              <w:widowControl/>
              <w:ind w:left="0" w:leftChars="0" w:right="0" w:rightChars="0" w:firstLine="0" w:firstLineChars="0"/>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⑶</w:t>
            </w: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15EEA">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地籍测绘费</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7A648">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98770</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EA097">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0</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0DC83">
            <w:pPr>
              <w:jc w:val="center"/>
              <w:rPr>
                <w:rFonts w:ascii="仿宋_GB2312" w:eastAsia="仿宋_GB2312" w:cs="Arial"/>
                <w:color w:val="auto"/>
                <w:sz w:val="24"/>
                <w:szCs w:val="24"/>
              </w:rPr>
            </w:pPr>
            <w:bookmarkStart w:id="7" w:name="OLE_LINK2"/>
            <w:bookmarkStart w:id="8" w:name="OLE_LINK1"/>
            <w:r>
              <w:rPr>
                <w:rFonts w:hint="eastAsia" w:ascii="仿宋_GB2312" w:eastAsia="仿宋_GB2312" w:cs="Arial"/>
                <w:color w:val="auto"/>
                <w:sz w:val="24"/>
                <w:szCs w:val="24"/>
              </w:rPr>
              <w:t>该协议中的拨地定桩因与其他（5）中的工程量逻辑不清，</w:t>
            </w:r>
            <w:bookmarkEnd w:id="7"/>
            <w:bookmarkEnd w:id="8"/>
            <w:r>
              <w:rPr>
                <w:rFonts w:hint="eastAsia" w:ascii="仿宋_GB2312" w:eastAsia="仿宋_GB2312" w:cs="Arial"/>
                <w:color w:val="auto"/>
                <w:sz w:val="24"/>
                <w:szCs w:val="24"/>
              </w:rPr>
              <w:t>已剔减</w:t>
            </w:r>
          </w:p>
        </w:tc>
      </w:tr>
      <w:tr w14:paraId="4D82571F">
        <w:tblPrEx>
          <w:tblCellMar>
            <w:top w:w="0" w:type="dxa"/>
            <w:left w:w="108" w:type="dxa"/>
            <w:bottom w:w="0" w:type="dxa"/>
            <w:right w:w="108" w:type="dxa"/>
          </w:tblCellMar>
        </w:tblPrEx>
        <w:trPr>
          <w:trHeight w:val="567" w:hRule="atLeast"/>
          <w:jc w:val="center"/>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DA955">
            <w:pPr>
              <w:widowControl/>
              <w:ind w:left="0" w:leftChars="0" w:right="0" w:rightChars="0" w:firstLine="0" w:firstLineChars="0"/>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⑷</w:t>
            </w: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56760">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补征拨地定桩</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DCB71">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63200</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48A43">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0</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925C3">
            <w:pPr>
              <w:jc w:val="center"/>
              <w:rPr>
                <w:rFonts w:ascii="仿宋_GB2312" w:eastAsia="仿宋_GB2312" w:cs="Arial"/>
                <w:color w:val="auto"/>
                <w:sz w:val="24"/>
                <w:szCs w:val="24"/>
              </w:rPr>
            </w:pPr>
          </w:p>
        </w:tc>
      </w:tr>
      <w:tr w14:paraId="2C36932D">
        <w:tblPrEx>
          <w:tblCellMar>
            <w:top w:w="0" w:type="dxa"/>
            <w:left w:w="108" w:type="dxa"/>
            <w:bottom w:w="0" w:type="dxa"/>
            <w:right w:w="108" w:type="dxa"/>
          </w:tblCellMar>
        </w:tblPrEx>
        <w:trPr>
          <w:trHeight w:val="821" w:hRule="atLeast"/>
          <w:jc w:val="center"/>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A52AC">
            <w:pPr>
              <w:widowControl/>
              <w:ind w:left="0" w:leftChars="0" w:right="0" w:rightChars="0" w:firstLine="0" w:firstLineChars="0"/>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⑸</w:t>
            </w: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83F27">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调规后拨地定桩</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75CDF">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0</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0322D">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0</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4BEE8">
            <w:pPr>
              <w:jc w:val="center"/>
              <w:rPr>
                <w:rFonts w:ascii="仿宋_GB2312" w:eastAsia="仿宋_GB2312" w:cs="Arial"/>
                <w:color w:val="auto"/>
                <w:sz w:val="24"/>
                <w:szCs w:val="24"/>
              </w:rPr>
            </w:pPr>
            <w:r>
              <w:rPr>
                <w:rFonts w:hint="eastAsia" w:ascii="仿宋_GB2312" w:eastAsia="仿宋_GB2312" w:cs="Arial"/>
                <w:color w:val="auto"/>
                <w:sz w:val="24"/>
                <w:szCs w:val="24"/>
              </w:rPr>
              <w:t>该费用与（3）合同中的工程量逻辑不清，剔减</w:t>
            </w:r>
          </w:p>
        </w:tc>
      </w:tr>
      <w:tr w14:paraId="1AF93EEE">
        <w:tblPrEx>
          <w:tblCellMar>
            <w:top w:w="0" w:type="dxa"/>
            <w:left w:w="108" w:type="dxa"/>
            <w:bottom w:w="0" w:type="dxa"/>
            <w:right w:w="108" w:type="dxa"/>
          </w:tblCellMar>
        </w:tblPrEx>
        <w:trPr>
          <w:trHeight w:val="567" w:hRule="atLeast"/>
          <w:jc w:val="center"/>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07C0C">
            <w:pPr>
              <w:widowControl/>
              <w:ind w:left="0" w:leftChars="0" w:right="0" w:rightChars="0" w:firstLine="0" w:firstLineChars="0"/>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⑹</w:t>
            </w: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DB5DB">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内业工日</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37000">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600</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52123">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0</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8CC39">
            <w:pPr>
              <w:jc w:val="center"/>
              <w:rPr>
                <w:rFonts w:ascii="仿宋_GB2312" w:eastAsia="仿宋_GB2312" w:cs="Arial"/>
                <w:color w:val="auto"/>
                <w:sz w:val="24"/>
                <w:szCs w:val="24"/>
              </w:rPr>
            </w:pPr>
          </w:p>
        </w:tc>
      </w:tr>
      <w:tr w14:paraId="3561B6C8">
        <w:tblPrEx>
          <w:tblCellMar>
            <w:top w:w="0" w:type="dxa"/>
            <w:left w:w="108" w:type="dxa"/>
            <w:bottom w:w="0" w:type="dxa"/>
            <w:right w:w="108" w:type="dxa"/>
          </w:tblCellMar>
        </w:tblPrEx>
        <w:trPr>
          <w:trHeight w:val="567" w:hRule="atLeast"/>
          <w:jc w:val="center"/>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6CDF6">
            <w:pPr>
              <w:widowControl/>
              <w:ind w:left="0" w:leftChars="0" w:right="0" w:rightChars="0" w:firstLine="0" w:firstLineChars="0"/>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⑺</w:t>
            </w: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F7C03">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补征拨地定桩、地籍测绘</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3BE6D">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10840</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FA3A4">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0</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7850F">
            <w:pPr>
              <w:jc w:val="center"/>
              <w:rPr>
                <w:rFonts w:ascii="仿宋_GB2312" w:eastAsia="仿宋_GB2312" w:cs="Arial"/>
                <w:color w:val="auto"/>
                <w:sz w:val="24"/>
                <w:szCs w:val="24"/>
              </w:rPr>
            </w:pPr>
          </w:p>
        </w:tc>
      </w:tr>
      <w:tr w14:paraId="24CC1665">
        <w:tblPrEx>
          <w:tblCellMar>
            <w:top w:w="0" w:type="dxa"/>
            <w:left w:w="108" w:type="dxa"/>
            <w:bottom w:w="0" w:type="dxa"/>
            <w:right w:w="108" w:type="dxa"/>
          </w:tblCellMar>
        </w:tblPrEx>
        <w:trPr>
          <w:trHeight w:val="442" w:hRule="atLeast"/>
          <w:jc w:val="center"/>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AEE1E">
            <w:pPr>
              <w:widowControl/>
              <w:ind w:left="0" w:leftChars="0" w:right="0" w:rightChars="0" w:firstLine="0" w:firstLineChars="0"/>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⑻</w:t>
            </w: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92F46">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清绘</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3893F">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2200</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F008C">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0</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37F9D">
            <w:pPr>
              <w:jc w:val="center"/>
              <w:rPr>
                <w:rFonts w:ascii="仿宋_GB2312" w:eastAsia="仿宋_GB2312" w:cs="Arial"/>
                <w:color w:val="auto"/>
                <w:sz w:val="24"/>
                <w:szCs w:val="24"/>
              </w:rPr>
            </w:pPr>
          </w:p>
        </w:tc>
      </w:tr>
      <w:tr w14:paraId="0F21E7E3">
        <w:tblPrEx>
          <w:tblCellMar>
            <w:top w:w="0" w:type="dxa"/>
            <w:left w:w="108" w:type="dxa"/>
            <w:bottom w:w="0" w:type="dxa"/>
            <w:right w:w="108" w:type="dxa"/>
          </w:tblCellMar>
        </w:tblPrEx>
        <w:trPr>
          <w:trHeight w:val="467" w:hRule="atLeast"/>
          <w:jc w:val="center"/>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F5899">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6D061">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设计费</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4B85F">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1598966</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38FCB">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-28845</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02CBF">
            <w:pPr>
              <w:jc w:val="center"/>
              <w:rPr>
                <w:rFonts w:ascii="仿宋_GB2312" w:hAnsi="宋体" w:eastAsia="仿宋_GB2312" w:cs="Arial"/>
                <w:color w:val="auto"/>
                <w:sz w:val="24"/>
                <w:szCs w:val="24"/>
              </w:rPr>
            </w:pPr>
            <w:r>
              <w:rPr>
                <w:rFonts w:hint="eastAsia" w:ascii="仿宋_GB2312" w:eastAsia="仿宋_GB2312" w:cs="Arial"/>
                <w:color w:val="auto"/>
                <w:sz w:val="24"/>
                <w:szCs w:val="24"/>
              </w:rPr>
              <w:t>朗州北路至环湖路</w:t>
            </w:r>
          </w:p>
        </w:tc>
      </w:tr>
      <w:tr w14:paraId="617DA41C">
        <w:tblPrEx>
          <w:tblCellMar>
            <w:top w:w="0" w:type="dxa"/>
            <w:left w:w="108" w:type="dxa"/>
            <w:bottom w:w="0" w:type="dxa"/>
            <w:right w:w="108" w:type="dxa"/>
          </w:tblCellMar>
        </w:tblPrEx>
        <w:trPr>
          <w:trHeight w:val="472" w:hRule="atLeast"/>
          <w:jc w:val="center"/>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8AE27">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8E566">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造价咨询费</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98E74">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237378</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78AF7">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-63153</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30A10">
            <w:pPr>
              <w:jc w:val="center"/>
              <w:rPr>
                <w:rFonts w:ascii="仿宋_GB2312" w:hAnsi="宋体" w:eastAsia="仿宋_GB2312" w:cs="Arial"/>
                <w:color w:val="auto"/>
                <w:sz w:val="24"/>
                <w:szCs w:val="24"/>
              </w:rPr>
            </w:pPr>
            <w:r>
              <w:rPr>
                <w:rFonts w:hint="eastAsia" w:ascii="仿宋_GB2312" w:eastAsia="仿宋_GB2312" w:cs="Arial"/>
                <w:color w:val="auto"/>
                <w:sz w:val="24"/>
                <w:szCs w:val="24"/>
              </w:rPr>
              <w:t>朗州北路至环湖路</w:t>
            </w:r>
          </w:p>
        </w:tc>
      </w:tr>
      <w:tr w14:paraId="760616D6">
        <w:tblPrEx>
          <w:tblCellMar>
            <w:top w:w="0" w:type="dxa"/>
            <w:left w:w="108" w:type="dxa"/>
            <w:bottom w:w="0" w:type="dxa"/>
            <w:right w:w="108" w:type="dxa"/>
          </w:tblCellMar>
        </w:tblPrEx>
        <w:trPr>
          <w:trHeight w:val="422" w:hRule="atLeast"/>
          <w:jc w:val="center"/>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6BEF0">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EDBD2">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监理费</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4C8F0">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1005000</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E2A35">
            <w:pPr>
              <w:jc w:val="center"/>
              <w:rPr>
                <w:rFonts w:ascii="仿宋_GB2312" w:hAnsi="Arial" w:eastAsia="仿宋_GB2312" w:cs="Arial"/>
                <w:color w:val="auto"/>
                <w:sz w:val="24"/>
                <w:szCs w:val="24"/>
              </w:rPr>
            </w:pPr>
            <w:r>
              <w:rPr>
                <w:rFonts w:hint="eastAsia" w:ascii="仿宋_GB2312" w:hAnsi="Arial" w:eastAsia="仿宋_GB2312" w:cs="Arial"/>
                <w:color w:val="auto"/>
                <w:sz w:val="24"/>
                <w:szCs w:val="24"/>
              </w:rPr>
              <w:t>-6558</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CA4CA">
            <w:pPr>
              <w:jc w:val="center"/>
              <w:rPr>
                <w:rFonts w:ascii="仿宋_GB2312" w:hAnsi="宋体" w:eastAsia="仿宋_GB2312" w:cs="Arial"/>
                <w:color w:val="auto"/>
                <w:sz w:val="24"/>
                <w:szCs w:val="24"/>
              </w:rPr>
            </w:pPr>
            <w:r>
              <w:rPr>
                <w:rFonts w:hint="eastAsia" w:ascii="仿宋_GB2312" w:hAnsi="宋体" w:eastAsia="仿宋_GB2312" w:cs="Arial"/>
                <w:color w:val="auto"/>
                <w:sz w:val="24"/>
                <w:szCs w:val="24"/>
              </w:rPr>
              <w:t>朗州北路至泉水路</w:t>
            </w:r>
          </w:p>
        </w:tc>
      </w:tr>
      <w:tr w14:paraId="09A36C18">
        <w:tblPrEx>
          <w:tblCellMar>
            <w:top w:w="0" w:type="dxa"/>
            <w:left w:w="108" w:type="dxa"/>
            <w:bottom w:w="0" w:type="dxa"/>
            <w:right w:w="108" w:type="dxa"/>
          </w:tblCellMar>
        </w:tblPrEx>
        <w:trPr>
          <w:trHeight w:val="467" w:hRule="atLeast"/>
          <w:jc w:val="center"/>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34806">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2CFC8">
            <w:pPr>
              <w:jc w:val="center"/>
              <w:rPr>
                <w:rFonts w:ascii="仿宋_GB2312" w:hAnsi="Arial" w:eastAsia="仿宋_GB2312" w:cs="Arial"/>
                <w:color w:val="000000"/>
                <w:sz w:val="24"/>
                <w:szCs w:val="24"/>
              </w:rPr>
            </w:pPr>
            <w:r>
              <w:rPr>
                <w:rFonts w:hint="eastAsia" w:ascii="仿宋_GB2312" w:hAnsi="Arial" w:eastAsia="仿宋_GB2312" w:cs="Arial"/>
                <w:color w:val="000000"/>
                <w:sz w:val="24"/>
                <w:szCs w:val="24"/>
              </w:rPr>
              <w:t>建设单位管理费</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C37FE">
            <w:pPr>
              <w:jc w:val="center"/>
              <w:rPr>
                <w:rFonts w:ascii="仿宋_GB2312" w:hAnsi="Arial" w:eastAsia="仿宋_GB2312" w:cs="Arial"/>
                <w:color w:val="000000"/>
                <w:sz w:val="24"/>
                <w:szCs w:val="24"/>
              </w:rPr>
            </w:pPr>
            <w:r>
              <w:rPr>
                <w:rFonts w:hint="eastAsia" w:ascii="仿宋_GB2312" w:hAnsi="Arial" w:eastAsia="仿宋_GB2312" w:cs="Arial"/>
                <w:color w:val="000000"/>
                <w:sz w:val="24"/>
                <w:szCs w:val="24"/>
              </w:rPr>
              <w:t>653958</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3B991">
            <w:pPr>
              <w:jc w:val="center"/>
              <w:rPr>
                <w:rFonts w:ascii="仿宋_GB2312" w:hAnsi="Arial" w:eastAsia="仿宋_GB2312" w:cs="Arial"/>
                <w:color w:val="000000"/>
                <w:sz w:val="24"/>
                <w:szCs w:val="24"/>
              </w:rPr>
            </w:pPr>
            <w:r>
              <w:rPr>
                <w:rFonts w:hint="eastAsia" w:ascii="仿宋_GB2312" w:hAnsi="Arial" w:eastAsia="仿宋_GB2312" w:cs="Arial"/>
                <w:color w:val="000000"/>
                <w:sz w:val="24"/>
                <w:szCs w:val="24"/>
              </w:rPr>
              <w:t>0</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C1F3F">
            <w:pPr>
              <w:jc w:val="center"/>
              <w:rPr>
                <w:rFonts w:ascii="仿宋_GB2312" w:hAnsi="宋体" w:eastAsia="仿宋_GB2312" w:cs="Arial"/>
                <w:color w:val="000000"/>
                <w:sz w:val="24"/>
                <w:szCs w:val="24"/>
              </w:rPr>
            </w:pPr>
            <w:r>
              <w:rPr>
                <w:rFonts w:hint="eastAsia" w:ascii="仿宋_GB2312" w:eastAsia="仿宋_GB2312" w:cs="Arial"/>
                <w:color w:val="000000"/>
                <w:sz w:val="24"/>
                <w:szCs w:val="24"/>
              </w:rPr>
              <w:t>朗州北路至泉水路</w:t>
            </w:r>
          </w:p>
        </w:tc>
      </w:tr>
      <w:tr w14:paraId="09525B78">
        <w:tblPrEx>
          <w:tblCellMar>
            <w:top w:w="0" w:type="dxa"/>
            <w:left w:w="108" w:type="dxa"/>
            <w:bottom w:w="0" w:type="dxa"/>
            <w:right w:w="108" w:type="dxa"/>
          </w:tblCellMar>
        </w:tblPrEx>
        <w:trPr>
          <w:trHeight w:val="467" w:hRule="atLeast"/>
          <w:jc w:val="center"/>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2E0DA">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CD6D1">
            <w:pPr>
              <w:jc w:val="center"/>
              <w:rPr>
                <w:rFonts w:ascii="仿宋_GB2312" w:hAnsi="Arial" w:eastAsia="仿宋_GB2312" w:cs="Arial"/>
                <w:color w:val="000000"/>
                <w:sz w:val="24"/>
                <w:szCs w:val="24"/>
              </w:rPr>
            </w:pPr>
            <w:r>
              <w:rPr>
                <w:rFonts w:hint="eastAsia" w:ascii="仿宋_GB2312" w:hAnsi="Arial" w:eastAsia="仿宋_GB2312" w:cs="Arial"/>
                <w:color w:val="000000"/>
                <w:sz w:val="24"/>
                <w:szCs w:val="24"/>
              </w:rPr>
              <w:t>第三方结算审核费</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4D5A3">
            <w:pPr>
              <w:jc w:val="center"/>
              <w:rPr>
                <w:rFonts w:ascii="仿宋_GB2312" w:hAnsi="Arial" w:eastAsia="仿宋_GB2312" w:cs="Arial"/>
                <w:color w:val="000000"/>
                <w:sz w:val="24"/>
                <w:szCs w:val="24"/>
              </w:rPr>
            </w:pPr>
            <w:r>
              <w:rPr>
                <w:rFonts w:hint="eastAsia" w:ascii="仿宋_GB2312" w:hAnsi="Arial" w:eastAsia="仿宋_GB2312" w:cs="Arial"/>
                <w:color w:val="000000"/>
                <w:sz w:val="24"/>
                <w:szCs w:val="24"/>
              </w:rPr>
              <w:t>12084</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6CD02">
            <w:pPr>
              <w:jc w:val="center"/>
              <w:rPr>
                <w:rFonts w:ascii="仿宋_GB2312" w:hAnsi="Arial" w:eastAsia="仿宋_GB2312" w:cs="Arial"/>
                <w:color w:val="000000"/>
                <w:sz w:val="24"/>
                <w:szCs w:val="24"/>
              </w:rPr>
            </w:pPr>
            <w:r>
              <w:rPr>
                <w:rFonts w:hint="eastAsia" w:ascii="仿宋_GB2312" w:hAnsi="Arial" w:eastAsia="仿宋_GB2312" w:cs="Arial"/>
                <w:color w:val="000000"/>
                <w:sz w:val="24"/>
                <w:szCs w:val="24"/>
              </w:rPr>
              <w:t>-408</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3C074">
            <w:pPr>
              <w:jc w:val="center"/>
              <w:rPr>
                <w:rFonts w:ascii="仿宋_GB2312" w:hAnsi="宋体" w:eastAsia="仿宋_GB2312" w:cs="Arial"/>
                <w:color w:val="000000"/>
                <w:sz w:val="24"/>
                <w:szCs w:val="24"/>
              </w:rPr>
            </w:pPr>
          </w:p>
        </w:tc>
      </w:tr>
      <w:tr w14:paraId="724BD305">
        <w:tblPrEx>
          <w:tblCellMar>
            <w:top w:w="0" w:type="dxa"/>
            <w:left w:w="108" w:type="dxa"/>
            <w:bottom w:w="0" w:type="dxa"/>
            <w:right w:w="108" w:type="dxa"/>
          </w:tblCellMar>
        </w:tblPrEx>
        <w:trPr>
          <w:trHeight w:val="567" w:hRule="atLeast"/>
          <w:jc w:val="center"/>
        </w:trPr>
        <w:tc>
          <w:tcPr>
            <w:tcW w:w="744" w:type="dxa"/>
            <w:tcBorders>
              <w:top w:val="single" w:color="000000" w:sz="4" w:space="0"/>
              <w:left w:val="single" w:color="000000" w:sz="4" w:space="0"/>
              <w:bottom w:val="single" w:color="000000" w:sz="4" w:space="0"/>
              <w:right w:val="single" w:color="000000" w:sz="4" w:space="0"/>
            </w:tcBorders>
            <w:shd w:val="clear" w:color="auto" w:fill="auto"/>
          </w:tcPr>
          <w:p w14:paraId="43775596">
            <w:pPr>
              <w:widowControl/>
              <w:jc w:val="center"/>
              <w:textAlignment w:val="center"/>
              <w:rPr>
                <w:rFonts w:ascii="仿宋_GB2312" w:hAnsi="仿宋_GB2312" w:eastAsia="仿宋_GB2312" w:cs="仿宋_GB2312"/>
                <w:sz w:val="24"/>
                <w:szCs w:val="24"/>
              </w:rPr>
            </w:pP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159D8">
            <w:pPr>
              <w:widowControl/>
              <w:jc w:val="center"/>
              <w:textAlignment w:val="center"/>
              <w:rPr>
                <w:rFonts w:ascii="仿宋_GB2312" w:hAnsi="仿宋_GB2312" w:eastAsia="仿宋_GB2312" w:cs="仿宋_GB2312"/>
                <w:b/>
                <w:sz w:val="24"/>
                <w:szCs w:val="24"/>
              </w:rPr>
            </w:pPr>
            <w:r>
              <w:rPr>
                <w:rFonts w:hint="eastAsia" w:ascii="仿宋_GB2312" w:hAnsi="仿宋_GB2312" w:eastAsia="仿宋_GB2312" w:cs="仿宋_GB2312"/>
                <w:b/>
                <w:sz w:val="24"/>
                <w:szCs w:val="24"/>
              </w:rPr>
              <w:t>合  计</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D9034">
            <w:pPr>
              <w:widowControl/>
              <w:jc w:val="center"/>
              <w:textAlignment w:val="center"/>
              <w:rPr>
                <w:rFonts w:ascii="仿宋_GB2312" w:hAnsi="仿宋_GB2312" w:eastAsia="仿宋_GB2312" w:cs="仿宋_GB2312"/>
                <w:b/>
                <w:sz w:val="24"/>
                <w:szCs w:val="24"/>
              </w:rPr>
            </w:pPr>
            <w:r>
              <w:rPr>
                <w:rFonts w:hint="eastAsia" w:ascii="仿宋_GB2312" w:hAnsi="仿宋_GB2312" w:eastAsia="仿宋_GB2312" w:cs="仿宋_GB2312"/>
                <w:b/>
                <w:sz w:val="24"/>
                <w:szCs w:val="24"/>
              </w:rPr>
              <w:t>3796596</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F498C">
            <w:pPr>
              <w:widowControl/>
              <w:jc w:val="center"/>
              <w:textAlignment w:val="center"/>
              <w:rPr>
                <w:rFonts w:ascii="仿宋_GB2312" w:hAnsi="仿宋_GB2312" w:eastAsia="仿宋_GB2312" w:cs="仿宋_GB2312"/>
                <w:b/>
                <w:sz w:val="24"/>
                <w:szCs w:val="24"/>
              </w:rPr>
            </w:pPr>
            <w:r>
              <w:rPr>
                <w:rFonts w:hint="eastAsia" w:ascii="仿宋_GB2312" w:hAnsi="仿宋_GB2312" w:eastAsia="仿宋_GB2312" w:cs="仿宋_GB2312"/>
                <w:b/>
                <w:sz w:val="24"/>
                <w:szCs w:val="24"/>
              </w:rPr>
              <w:t>-137512</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8682E">
            <w:pPr>
              <w:widowControl/>
              <w:jc w:val="center"/>
              <w:textAlignment w:val="center"/>
              <w:rPr>
                <w:rFonts w:ascii="仿宋_GB2312" w:hAnsi="仿宋_GB2312" w:eastAsia="仿宋_GB2312" w:cs="仿宋_GB2312"/>
                <w:b/>
                <w:sz w:val="24"/>
                <w:szCs w:val="24"/>
              </w:rPr>
            </w:pPr>
          </w:p>
        </w:tc>
      </w:tr>
    </w:tbl>
    <w:p w14:paraId="0E756703">
      <w:pPr>
        <w:keepNext w:val="0"/>
        <w:keepLines w:val="0"/>
        <w:pageBreakBefore w:val="0"/>
        <w:widowControl w:val="0"/>
        <w:kinsoku/>
        <w:wordWrap/>
        <w:overflowPunct/>
        <w:topLinePunct w:val="0"/>
        <w:autoSpaceDE/>
        <w:autoSpaceDN/>
        <w:bidi w:val="0"/>
        <w:adjustRightInd/>
        <w:snapToGrid/>
        <w:spacing w:line="20" w:lineRule="exact"/>
        <w:textAlignment w:val="auto"/>
        <w:rPr>
          <w:rFonts w:ascii="仿宋" w:hAnsi="仿宋" w:eastAsia="仿宋" w:cs="仿宋"/>
          <w:sz w:val="24"/>
        </w:rPr>
      </w:pPr>
    </w:p>
    <w:sectPr>
      <w:pgSz w:w="11906" w:h="16838"/>
      <w:pgMar w:top="2154" w:right="1531" w:bottom="1440" w:left="1531" w:header="851" w:footer="992" w:gutter="0"/>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33EABD2D-0032-4569-8BD8-8DC56147E601}"/>
  </w:font>
  <w:font w:name="黑体">
    <w:panose1 w:val="02010609060101010101"/>
    <w:charset w:val="86"/>
    <w:family w:val="auto"/>
    <w:pitch w:val="default"/>
    <w:sig w:usb0="800002BF" w:usb1="38CF7CFA" w:usb2="00000016" w:usb3="00000000" w:csb0="00040001" w:csb1="00000000"/>
    <w:embedRegular r:id="rId2" w:fontKey="{B0273992-EBA0-4A25-B3BE-5FBDC62F056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CCBF76B9-1C75-4DAB-964D-7DF4BB3AE0FF}"/>
  </w:font>
  <w:font w:name="仿宋">
    <w:panose1 w:val="02010609060101010101"/>
    <w:charset w:val="86"/>
    <w:family w:val="modern"/>
    <w:pitch w:val="default"/>
    <w:sig w:usb0="800002BF" w:usb1="38CF7CFA" w:usb2="00000016" w:usb3="00000000" w:csb0="00040001" w:csb1="00000000"/>
    <w:embedRegular r:id="rId4" w:fontKey="{B8370094-5D3F-4F87-A744-2C3C6D25062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AB65211"/>
    <w:rsid w:val="0000081F"/>
    <w:rsid w:val="00001133"/>
    <w:rsid w:val="00006486"/>
    <w:rsid w:val="000128BA"/>
    <w:rsid w:val="00016E80"/>
    <w:rsid w:val="000170B5"/>
    <w:rsid w:val="0003759F"/>
    <w:rsid w:val="0004167F"/>
    <w:rsid w:val="00053FC9"/>
    <w:rsid w:val="00062A47"/>
    <w:rsid w:val="00065334"/>
    <w:rsid w:val="000861A7"/>
    <w:rsid w:val="000927D9"/>
    <w:rsid w:val="00095444"/>
    <w:rsid w:val="000A5411"/>
    <w:rsid w:val="000A63B7"/>
    <w:rsid w:val="000B2FD6"/>
    <w:rsid w:val="000B309C"/>
    <w:rsid w:val="000B7158"/>
    <w:rsid w:val="000C4F69"/>
    <w:rsid w:val="000D423D"/>
    <w:rsid w:val="000D4666"/>
    <w:rsid w:val="000E3D0C"/>
    <w:rsid w:val="000E7919"/>
    <w:rsid w:val="000F57CA"/>
    <w:rsid w:val="0010138C"/>
    <w:rsid w:val="00114EA3"/>
    <w:rsid w:val="0012192E"/>
    <w:rsid w:val="00124983"/>
    <w:rsid w:val="001373CA"/>
    <w:rsid w:val="0015069E"/>
    <w:rsid w:val="001620DD"/>
    <w:rsid w:val="001628E2"/>
    <w:rsid w:val="001659E6"/>
    <w:rsid w:val="001729A6"/>
    <w:rsid w:val="0017319B"/>
    <w:rsid w:val="0017412C"/>
    <w:rsid w:val="00174904"/>
    <w:rsid w:val="001932FA"/>
    <w:rsid w:val="001C282F"/>
    <w:rsid w:val="001C5761"/>
    <w:rsid w:val="001E0C34"/>
    <w:rsid w:val="001F3BFC"/>
    <w:rsid w:val="001F68BB"/>
    <w:rsid w:val="00203C5E"/>
    <w:rsid w:val="002104D9"/>
    <w:rsid w:val="00211304"/>
    <w:rsid w:val="002159C4"/>
    <w:rsid w:val="00237CD4"/>
    <w:rsid w:val="0024049F"/>
    <w:rsid w:val="00245CE3"/>
    <w:rsid w:val="002539AF"/>
    <w:rsid w:val="002576C4"/>
    <w:rsid w:val="0027258F"/>
    <w:rsid w:val="002808C9"/>
    <w:rsid w:val="00284ADC"/>
    <w:rsid w:val="0029678D"/>
    <w:rsid w:val="002B07F4"/>
    <w:rsid w:val="002B258B"/>
    <w:rsid w:val="002C584E"/>
    <w:rsid w:val="002D3490"/>
    <w:rsid w:val="002F08D7"/>
    <w:rsid w:val="002F64C6"/>
    <w:rsid w:val="003034A7"/>
    <w:rsid w:val="0030744F"/>
    <w:rsid w:val="003128D4"/>
    <w:rsid w:val="003221E4"/>
    <w:rsid w:val="00324C2F"/>
    <w:rsid w:val="003260F9"/>
    <w:rsid w:val="00327A15"/>
    <w:rsid w:val="00344397"/>
    <w:rsid w:val="003470BF"/>
    <w:rsid w:val="00352E7E"/>
    <w:rsid w:val="00352F9B"/>
    <w:rsid w:val="00360F96"/>
    <w:rsid w:val="003763D0"/>
    <w:rsid w:val="00380996"/>
    <w:rsid w:val="00387F1E"/>
    <w:rsid w:val="003A2B02"/>
    <w:rsid w:val="003A4014"/>
    <w:rsid w:val="003A567E"/>
    <w:rsid w:val="003A79C1"/>
    <w:rsid w:val="003C2080"/>
    <w:rsid w:val="003C51D2"/>
    <w:rsid w:val="003D0321"/>
    <w:rsid w:val="003E4739"/>
    <w:rsid w:val="00407C42"/>
    <w:rsid w:val="00421802"/>
    <w:rsid w:val="0045660B"/>
    <w:rsid w:val="00457C8F"/>
    <w:rsid w:val="004740C9"/>
    <w:rsid w:val="00477C10"/>
    <w:rsid w:val="004867C0"/>
    <w:rsid w:val="00495F33"/>
    <w:rsid w:val="004A2839"/>
    <w:rsid w:val="004A4664"/>
    <w:rsid w:val="004B2F0B"/>
    <w:rsid w:val="004B6F5B"/>
    <w:rsid w:val="004B7537"/>
    <w:rsid w:val="004C0E60"/>
    <w:rsid w:val="004C6526"/>
    <w:rsid w:val="004D4534"/>
    <w:rsid w:val="004E6C41"/>
    <w:rsid w:val="00504ABA"/>
    <w:rsid w:val="00505778"/>
    <w:rsid w:val="00507641"/>
    <w:rsid w:val="005077D0"/>
    <w:rsid w:val="005172CC"/>
    <w:rsid w:val="00534B5C"/>
    <w:rsid w:val="005367B7"/>
    <w:rsid w:val="00556459"/>
    <w:rsid w:val="00575514"/>
    <w:rsid w:val="00577027"/>
    <w:rsid w:val="005861F7"/>
    <w:rsid w:val="005A0083"/>
    <w:rsid w:val="005A021A"/>
    <w:rsid w:val="005A5B55"/>
    <w:rsid w:val="005B37C9"/>
    <w:rsid w:val="005B3B42"/>
    <w:rsid w:val="005C23CE"/>
    <w:rsid w:val="005C66C8"/>
    <w:rsid w:val="005D0F18"/>
    <w:rsid w:val="005D5730"/>
    <w:rsid w:val="005E3365"/>
    <w:rsid w:val="005F48AA"/>
    <w:rsid w:val="006037FE"/>
    <w:rsid w:val="00606085"/>
    <w:rsid w:val="00606275"/>
    <w:rsid w:val="0062155A"/>
    <w:rsid w:val="0062224F"/>
    <w:rsid w:val="006308BF"/>
    <w:rsid w:val="00637E3F"/>
    <w:rsid w:val="00641623"/>
    <w:rsid w:val="00644913"/>
    <w:rsid w:val="0064600F"/>
    <w:rsid w:val="006637EF"/>
    <w:rsid w:val="00672CC2"/>
    <w:rsid w:val="00690B48"/>
    <w:rsid w:val="006A2234"/>
    <w:rsid w:val="006B6E0D"/>
    <w:rsid w:val="006D1361"/>
    <w:rsid w:val="006D22D2"/>
    <w:rsid w:val="006D3D61"/>
    <w:rsid w:val="006D7918"/>
    <w:rsid w:val="006E03E2"/>
    <w:rsid w:val="006E5316"/>
    <w:rsid w:val="006E5C63"/>
    <w:rsid w:val="006F53AC"/>
    <w:rsid w:val="006F61ED"/>
    <w:rsid w:val="0071480E"/>
    <w:rsid w:val="00736DBE"/>
    <w:rsid w:val="00747A1F"/>
    <w:rsid w:val="00756051"/>
    <w:rsid w:val="00756947"/>
    <w:rsid w:val="007571FA"/>
    <w:rsid w:val="007629FE"/>
    <w:rsid w:val="007630F3"/>
    <w:rsid w:val="00777C06"/>
    <w:rsid w:val="007901A2"/>
    <w:rsid w:val="00791C47"/>
    <w:rsid w:val="007B3C05"/>
    <w:rsid w:val="007B68F3"/>
    <w:rsid w:val="007C3E4B"/>
    <w:rsid w:val="007C4D1A"/>
    <w:rsid w:val="007C7E88"/>
    <w:rsid w:val="007D5B7E"/>
    <w:rsid w:val="007E13B1"/>
    <w:rsid w:val="007E733E"/>
    <w:rsid w:val="007F0B9F"/>
    <w:rsid w:val="007F42C9"/>
    <w:rsid w:val="00801C4F"/>
    <w:rsid w:val="00803BB5"/>
    <w:rsid w:val="00815FB0"/>
    <w:rsid w:val="008226CC"/>
    <w:rsid w:val="00823A0C"/>
    <w:rsid w:val="00830F19"/>
    <w:rsid w:val="008339AA"/>
    <w:rsid w:val="00837BEC"/>
    <w:rsid w:val="0084560E"/>
    <w:rsid w:val="00846DBA"/>
    <w:rsid w:val="00855E7C"/>
    <w:rsid w:val="0088334F"/>
    <w:rsid w:val="00893253"/>
    <w:rsid w:val="008979C7"/>
    <w:rsid w:val="008A38C3"/>
    <w:rsid w:val="008B57EC"/>
    <w:rsid w:val="008B74E7"/>
    <w:rsid w:val="008D10C4"/>
    <w:rsid w:val="008E582A"/>
    <w:rsid w:val="00902D3D"/>
    <w:rsid w:val="009045D1"/>
    <w:rsid w:val="009054A3"/>
    <w:rsid w:val="00911C99"/>
    <w:rsid w:val="0091671B"/>
    <w:rsid w:val="00935DFB"/>
    <w:rsid w:val="009431E3"/>
    <w:rsid w:val="00945A39"/>
    <w:rsid w:val="00946D48"/>
    <w:rsid w:val="00953494"/>
    <w:rsid w:val="009667B0"/>
    <w:rsid w:val="00975A4A"/>
    <w:rsid w:val="00980BB7"/>
    <w:rsid w:val="00981537"/>
    <w:rsid w:val="00985E1B"/>
    <w:rsid w:val="009A4F36"/>
    <w:rsid w:val="009A6A52"/>
    <w:rsid w:val="009C312F"/>
    <w:rsid w:val="009E206C"/>
    <w:rsid w:val="009E56F4"/>
    <w:rsid w:val="009E6CAF"/>
    <w:rsid w:val="009F1571"/>
    <w:rsid w:val="00A01078"/>
    <w:rsid w:val="00A06427"/>
    <w:rsid w:val="00A12D7C"/>
    <w:rsid w:val="00A16701"/>
    <w:rsid w:val="00A23624"/>
    <w:rsid w:val="00A3289D"/>
    <w:rsid w:val="00A37791"/>
    <w:rsid w:val="00A51C12"/>
    <w:rsid w:val="00A545EA"/>
    <w:rsid w:val="00A55316"/>
    <w:rsid w:val="00A56BD4"/>
    <w:rsid w:val="00A57867"/>
    <w:rsid w:val="00A834FF"/>
    <w:rsid w:val="00A94B09"/>
    <w:rsid w:val="00AA23E4"/>
    <w:rsid w:val="00AA61F1"/>
    <w:rsid w:val="00AB4B7A"/>
    <w:rsid w:val="00AC1A14"/>
    <w:rsid w:val="00AD12FF"/>
    <w:rsid w:val="00AE5C42"/>
    <w:rsid w:val="00AF06BC"/>
    <w:rsid w:val="00AF2345"/>
    <w:rsid w:val="00B470EC"/>
    <w:rsid w:val="00B502AC"/>
    <w:rsid w:val="00B5275B"/>
    <w:rsid w:val="00B570D4"/>
    <w:rsid w:val="00B733F6"/>
    <w:rsid w:val="00B74418"/>
    <w:rsid w:val="00B87BE6"/>
    <w:rsid w:val="00B950BE"/>
    <w:rsid w:val="00BA1650"/>
    <w:rsid w:val="00BA3513"/>
    <w:rsid w:val="00BC516F"/>
    <w:rsid w:val="00BC572A"/>
    <w:rsid w:val="00BD1B5D"/>
    <w:rsid w:val="00BD2A2C"/>
    <w:rsid w:val="00BD3C26"/>
    <w:rsid w:val="00BD429D"/>
    <w:rsid w:val="00BD54EB"/>
    <w:rsid w:val="00BD7314"/>
    <w:rsid w:val="00BE39B0"/>
    <w:rsid w:val="00BE6E0E"/>
    <w:rsid w:val="00C30A87"/>
    <w:rsid w:val="00C421C0"/>
    <w:rsid w:val="00C4265A"/>
    <w:rsid w:val="00C51916"/>
    <w:rsid w:val="00C62AF6"/>
    <w:rsid w:val="00C714B6"/>
    <w:rsid w:val="00C80968"/>
    <w:rsid w:val="00C813D5"/>
    <w:rsid w:val="00C86121"/>
    <w:rsid w:val="00C870D0"/>
    <w:rsid w:val="00CA5692"/>
    <w:rsid w:val="00CA60C7"/>
    <w:rsid w:val="00CC69D5"/>
    <w:rsid w:val="00CD1188"/>
    <w:rsid w:val="00CE0771"/>
    <w:rsid w:val="00CE60ED"/>
    <w:rsid w:val="00CE6150"/>
    <w:rsid w:val="00CF0101"/>
    <w:rsid w:val="00CF17AA"/>
    <w:rsid w:val="00D04B84"/>
    <w:rsid w:val="00D11038"/>
    <w:rsid w:val="00D115E5"/>
    <w:rsid w:val="00D155D7"/>
    <w:rsid w:val="00D15DB4"/>
    <w:rsid w:val="00D209DA"/>
    <w:rsid w:val="00D2186B"/>
    <w:rsid w:val="00D22005"/>
    <w:rsid w:val="00D225B7"/>
    <w:rsid w:val="00D32BB3"/>
    <w:rsid w:val="00D337AA"/>
    <w:rsid w:val="00D4078A"/>
    <w:rsid w:val="00D422AF"/>
    <w:rsid w:val="00D47BE0"/>
    <w:rsid w:val="00D55FB2"/>
    <w:rsid w:val="00D5672B"/>
    <w:rsid w:val="00D73A31"/>
    <w:rsid w:val="00D759D0"/>
    <w:rsid w:val="00D812DA"/>
    <w:rsid w:val="00D8246C"/>
    <w:rsid w:val="00D9567F"/>
    <w:rsid w:val="00DA2C53"/>
    <w:rsid w:val="00DB510E"/>
    <w:rsid w:val="00DC69CD"/>
    <w:rsid w:val="00DD65C7"/>
    <w:rsid w:val="00DF008C"/>
    <w:rsid w:val="00DF532A"/>
    <w:rsid w:val="00E00C22"/>
    <w:rsid w:val="00E04079"/>
    <w:rsid w:val="00E46C01"/>
    <w:rsid w:val="00E57D03"/>
    <w:rsid w:val="00E60A9C"/>
    <w:rsid w:val="00E636F5"/>
    <w:rsid w:val="00E66CBB"/>
    <w:rsid w:val="00E90130"/>
    <w:rsid w:val="00EC114F"/>
    <w:rsid w:val="00EC16F6"/>
    <w:rsid w:val="00ED1812"/>
    <w:rsid w:val="00ED5EBF"/>
    <w:rsid w:val="00EF0D32"/>
    <w:rsid w:val="00F000CD"/>
    <w:rsid w:val="00F2050D"/>
    <w:rsid w:val="00F20D03"/>
    <w:rsid w:val="00F34A18"/>
    <w:rsid w:val="00F426D7"/>
    <w:rsid w:val="00F63D31"/>
    <w:rsid w:val="00F72CD2"/>
    <w:rsid w:val="00F771AC"/>
    <w:rsid w:val="00F803F7"/>
    <w:rsid w:val="00F96CF2"/>
    <w:rsid w:val="00FC18B5"/>
    <w:rsid w:val="00FE3138"/>
    <w:rsid w:val="00FE3907"/>
    <w:rsid w:val="00FF3E1C"/>
    <w:rsid w:val="00FF632C"/>
    <w:rsid w:val="016722DB"/>
    <w:rsid w:val="05C75FD0"/>
    <w:rsid w:val="073058AF"/>
    <w:rsid w:val="093E2D5C"/>
    <w:rsid w:val="09B47E91"/>
    <w:rsid w:val="0A9877F2"/>
    <w:rsid w:val="0D1F336B"/>
    <w:rsid w:val="122A36D2"/>
    <w:rsid w:val="12971BF6"/>
    <w:rsid w:val="152F6F86"/>
    <w:rsid w:val="172A60BA"/>
    <w:rsid w:val="179426E5"/>
    <w:rsid w:val="18E33C2B"/>
    <w:rsid w:val="1A661651"/>
    <w:rsid w:val="1B212499"/>
    <w:rsid w:val="1E047E0B"/>
    <w:rsid w:val="1EBE4245"/>
    <w:rsid w:val="1FD61FB0"/>
    <w:rsid w:val="20D12980"/>
    <w:rsid w:val="233722E6"/>
    <w:rsid w:val="2CFF241A"/>
    <w:rsid w:val="2D636E4D"/>
    <w:rsid w:val="2FB03F14"/>
    <w:rsid w:val="30472667"/>
    <w:rsid w:val="30A210BB"/>
    <w:rsid w:val="31B567CE"/>
    <w:rsid w:val="32B22189"/>
    <w:rsid w:val="35441B38"/>
    <w:rsid w:val="37063266"/>
    <w:rsid w:val="3A2D56DA"/>
    <w:rsid w:val="3A3E63E3"/>
    <w:rsid w:val="40B7508E"/>
    <w:rsid w:val="41E82F93"/>
    <w:rsid w:val="44336900"/>
    <w:rsid w:val="45CF6468"/>
    <w:rsid w:val="47584DBF"/>
    <w:rsid w:val="49837F30"/>
    <w:rsid w:val="4A1B00BA"/>
    <w:rsid w:val="4C0D6FF1"/>
    <w:rsid w:val="4CC27294"/>
    <w:rsid w:val="4D8030EB"/>
    <w:rsid w:val="4F8356CE"/>
    <w:rsid w:val="513D15DF"/>
    <w:rsid w:val="54DD333B"/>
    <w:rsid w:val="54EA3F8A"/>
    <w:rsid w:val="58442ECB"/>
    <w:rsid w:val="58B4156E"/>
    <w:rsid w:val="591F21F1"/>
    <w:rsid w:val="5922354D"/>
    <w:rsid w:val="5AB65211"/>
    <w:rsid w:val="5E4A1F22"/>
    <w:rsid w:val="5E5F6603"/>
    <w:rsid w:val="60B51595"/>
    <w:rsid w:val="635527B8"/>
    <w:rsid w:val="638D1C65"/>
    <w:rsid w:val="65C27948"/>
    <w:rsid w:val="66CF32FB"/>
    <w:rsid w:val="6A7618A7"/>
    <w:rsid w:val="6EC931C0"/>
    <w:rsid w:val="6F8F04BD"/>
    <w:rsid w:val="705804CB"/>
    <w:rsid w:val="711B5DFC"/>
    <w:rsid w:val="74357CF4"/>
    <w:rsid w:val="779F35E0"/>
    <w:rsid w:val="77A63619"/>
    <w:rsid w:val="77D376CA"/>
    <w:rsid w:val="789E78B1"/>
    <w:rsid w:val="790939D1"/>
    <w:rsid w:val="79546BC7"/>
    <w:rsid w:val="7DCC7C79"/>
    <w:rsid w:val="7FA27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font71"/>
    <w:basedOn w:val="6"/>
    <w:qFormat/>
    <w:uiPriority w:val="0"/>
    <w:rPr>
      <w:rFonts w:hint="eastAsia" w:ascii="仿宋_GB2312" w:eastAsia="仿宋_GB2312" w:cs="仿宋_GB2312"/>
      <w:b/>
      <w:bCs/>
      <w:color w:val="000000"/>
      <w:sz w:val="22"/>
      <w:szCs w:val="22"/>
      <w:u w:val="none"/>
    </w:rPr>
  </w:style>
  <w:style w:type="paragraph" w:customStyle="1" w:styleId="8">
    <w:name w:val="列出段落1"/>
    <w:basedOn w:val="1"/>
    <w:next w:val="1"/>
    <w:qFormat/>
    <w:uiPriority w:val="34"/>
    <w:pPr>
      <w:ind w:firstLine="420"/>
    </w:pPr>
  </w:style>
  <w:style w:type="character" w:customStyle="1" w:styleId="9">
    <w:name w:val="font41"/>
    <w:basedOn w:val="6"/>
    <w:qFormat/>
    <w:uiPriority w:val="0"/>
    <w:rPr>
      <w:rFonts w:hint="eastAsia" w:ascii="仿宋_GB2312" w:eastAsia="仿宋_GB2312" w:cs="仿宋_GB2312"/>
      <w:b/>
      <w:bCs/>
      <w:color w:val="000000"/>
      <w:sz w:val="22"/>
      <w:szCs w:val="22"/>
      <w:u w:val="none"/>
    </w:rPr>
  </w:style>
  <w:style w:type="paragraph" w:styleId="10">
    <w:name w:val="List Paragraph"/>
    <w:basedOn w:val="1"/>
    <w:unhideWhenUsed/>
    <w:qFormat/>
    <w:uiPriority w:val="99"/>
    <w:pPr>
      <w:ind w:firstLine="420" w:firstLineChars="200"/>
    </w:pPr>
  </w:style>
  <w:style w:type="character" w:customStyle="1" w:styleId="11">
    <w:name w:val="批注框文本 Char"/>
    <w:basedOn w:val="6"/>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1898</Words>
  <Characters>2279</Characters>
  <Lines>17</Lines>
  <Paragraphs>4</Paragraphs>
  <TotalTime>37</TotalTime>
  <ScaleCrop>false</ScaleCrop>
  <LinksUpToDate>false</LinksUpToDate>
  <CharactersWithSpaces>2292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2026-02-09T01:53:00Z</dcterms:created>
  <dc:creator>～小太阳。</dc:creator>
  <cp:lastModifiedBy>～小太阳。</cp:lastModifiedBy>
  <cp:lastPrinted>2026-02-10T02:05:00Z</cp:lastPrinted>
  <dcterms:modified xsi:type="dcterms:W3CDTF">2026-04-10T01:48:49Z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9B05F4FC3D38456F96340F6EE51ACF31_13</vt:lpwstr>
  </property>
  <property fmtid="{D5CDD505-2E9C-101B-9397-08002B2CF9AE}" pid="4" name="KSOTemplateDocerSaveRecord">
    <vt:lpwstr>eyJoZGlkIjoiZWMwNTc0MGJjNGVlNGU2MWIxYzUzZGM2Y2Q4MTIzY2EiLCJ1c2VySWQiOiIxMDc2NTE4NzkzIn0=</vt:lpwstr>
  </property>
</Properties>
</file>