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szCs w:val="32"/>
        </w:rPr>
      </w:pPr>
    </w:p>
    <w:p w14:paraId="09A58409">
      <w:pPr>
        <w:ind w:left="0" w:leftChars="0" w:right="0" w:rightChars="0" w:firstLine="0" w:firstLineChars="0"/>
        <w:jc w:val="center"/>
        <w:rPr>
          <w:rFonts w:hint="eastAsia" w:ascii="仿宋_GB2312" w:hAnsi="仿宋_GB2312" w:eastAsia="仿宋_GB2312"/>
          <w:sz w:val="32"/>
        </w:rPr>
      </w:pPr>
      <w:r>
        <w:rPr>
          <w:rFonts w:hint="eastAsia" w:ascii="仿宋_GB2312" w:hAnsi="仿宋_GB2312" w:eastAsia="仿宋_GB2312"/>
          <w:sz w:val="32"/>
        </w:rPr>
        <w:t>常财审〔20</w:t>
      </w:r>
      <w:r>
        <w:rPr>
          <w:rFonts w:hint="eastAsia" w:ascii="仿宋_GB2312" w:hAnsi="仿宋_GB2312" w:eastAsia="仿宋_GB2312"/>
          <w:sz w:val="32"/>
          <w:lang w:val="en-US" w:eastAsia="zh-CN"/>
        </w:rPr>
        <w:t>26</w:t>
      </w:r>
      <w:r>
        <w:rPr>
          <w:rFonts w:hint="eastAsia" w:ascii="仿宋_GB2312" w:hAnsi="仿宋_GB2312" w:eastAsia="仿宋_GB2312"/>
          <w:sz w:val="32"/>
        </w:rPr>
        <w:t>〕结字</w:t>
      </w:r>
      <w:r>
        <w:rPr>
          <w:rFonts w:hint="eastAsia" w:ascii="仿宋_GB2312" w:hAnsi="仿宋_GB2312" w:eastAsia="仿宋_GB2312"/>
          <w:sz w:val="32"/>
          <w:lang w:val="en-US" w:eastAsia="zh-CN"/>
        </w:rPr>
        <w:t>8</w:t>
      </w:r>
      <w:r>
        <w:rPr>
          <w:rFonts w:hint="eastAsia" w:ascii="仿宋_GB2312" w:hAnsi="仿宋_GB2312" w:eastAsia="仿宋_GB2312"/>
          <w:sz w:val="32"/>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spacing w:val="20"/>
          <w:sz w:val="44"/>
          <w:szCs w:val="44"/>
        </w:rPr>
      </w:pPr>
    </w:p>
    <w:p w14:paraId="353E371F">
      <w:pPr>
        <w:numPr>
          <w:ilvl w:val="0"/>
          <w:numId w:val="0"/>
        </w:numPr>
        <w:jc w:val="center"/>
        <w:rPr>
          <w:rFonts w:hint="eastAsia" w:ascii="宋体" w:hAnsi="宋体" w:eastAsia="宋体" w:cs="宋体"/>
          <w:sz w:val="44"/>
          <w:szCs w:val="44"/>
          <w:lang w:val="en-US" w:eastAsia="zh-CN"/>
        </w:rPr>
      </w:pPr>
      <w:r>
        <w:rPr>
          <w:rFonts w:hint="eastAsia" w:ascii="宋体" w:hAnsi="宋体" w:eastAsia="宋体" w:cs="宋体"/>
          <w:spacing w:val="-11"/>
          <w:sz w:val="44"/>
          <w:szCs w:val="44"/>
          <w:lang w:val="en-US" w:eastAsia="zh-CN"/>
        </w:rPr>
        <w:t>关于穿紫河东段水系综合治理工程－驳岸风光带一期工程（七里桥至柏园桥）</w:t>
      </w:r>
      <w:r>
        <w:rPr>
          <w:rFonts w:hint="eastAsia" w:ascii="宋体" w:hAnsi="宋体" w:cs="宋体"/>
          <w:spacing w:val="-11"/>
          <w:sz w:val="44"/>
          <w:szCs w:val="44"/>
          <w:lang w:val="en-US" w:eastAsia="zh-CN"/>
        </w:rPr>
        <w:t>服务</w:t>
      </w:r>
      <w:r>
        <w:rPr>
          <w:rFonts w:hint="eastAsia" w:ascii="宋体" w:hAnsi="宋体" w:cs="宋体"/>
          <w:spacing w:val="20"/>
          <w:sz w:val="44"/>
          <w:szCs w:val="44"/>
          <w:lang w:val="en-US" w:eastAsia="zh-CN"/>
        </w:rPr>
        <w:t>性前期费</w:t>
      </w:r>
      <w:r>
        <w:rPr>
          <w:rFonts w:hint="eastAsia" w:ascii="宋体" w:hAnsi="宋体" w:eastAsia="宋体" w:cs="宋体"/>
          <w:sz w:val="44"/>
          <w:szCs w:val="44"/>
          <w:lang w:val="en-US" w:eastAsia="zh-CN"/>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受你科室委托，根据常德市海绵城市建设投资开发有限公司送审资料，我中心对穿紫河东段水系综合整治工程－驳岸风光带一期工程（七里桥</w:t>
      </w:r>
      <w:r>
        <w:rPr>
          <w:rFonts w:hint="eastAsia" w:ascii="仿宋_GB2312" w:hAnsi="仿宋_GB2312" w:eastAsia="仿宋_GB2312" w:cs="仿宋_GB2312"/>
          <w:kern w:val="2"/>
          <w:sz w:val="32"/>
          <w:szCs w:val="32"/>
          <w:lang w:val="en-US" w:eastAsia="zh-CN" w:bidi="ar-SA"/>
        </w:rPr>
        <w:t>至</w:t>
      </w:r>
      <w:r>
        <w:rPr>
          <w:rFonts w:hint="eastAsia" w:ascii="仿宋_GB2312" w:hAnsi="仿宋_GB2312" w:eastAsia="仿宋_GB2312" w:cs="仿宋_GB2312"/>
          <w:sz w:val="32"/>
          <w:szCs w:val="32"/>
          <w:lang w:val="en-US" w:eastAsia="zh-CN"/>
        </w:rPr>
        <w:t>柏园桥）服务性前期费进行了评价和审查。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项目立项批复情况</w:t>
      </w:r>
    </w:p>
    <w:p w14:paraId="3ABFFD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穿紫河东段水系综合整治工程驳岸风光带一期建设项目由常德市发改委常发改投〔2012〕537号立项、常发改投〔2016〕384号调整投资规模，总投资批复额为83136万元，其中工程费32920万元，征地拆迁费41240万元，其他费用8976万元。项目西起尼姑桥、东抵常德大道，南至柏园桥。建设内容包括水系整治、景观建设及地下配套管线布置等工程。七里桥至柏园桥段位于姻缘河西，长约1300米，为该立项批复建设内容之一。</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项目已评审预结算情况（不含征拆）</w:t>
      </w:r>
    </w:p>
    <w:p w14:paraId="44A29260">
      <w:pPr>
        <w:pStyle w:val="7"/>
        <w:keepNext/>
        <w:keepLines/>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七里桥至柏园桥段预算评审金额74567112元(常财审〔2014〕预字540号，其中工程费69514995元、前期费1576367元、不可预见费3475750元）。结算评审金额</w:t>
      </w:r>
      <w:r>
        <w:rPr>
          <w:rFonts w:hint="eastAsia" w:ascii="仿宋_GB2312" w:hAnsi="仿宋_GB2312" w:eastAsia="仿宋_GB2312" w:cs="仿宋_GB2312"/>
          <w:b w:val="0"/>
          <w:bCs w:val="0"/>
          <w:sz w:val="32"/>
          <w:szCs w:val="32"/>
          <w:lang w:val="en-US" w:eastAsia="zh-CN"/>
        </w:rPr>
        <w:t>89910409.46元(常审投报</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b w:val="0"/>
          <w:bCs w:val="0"/>
          <w:sz w:val="32"/>
          <w:szCs w:val="32"/>
          <w:lang w:val="en-US" w:eastAsia="zh-CN"/>
        </w:rPr>
        <w:t>2018</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b w:val="0"/>
          <w:bCs w:val="0"/>
          <w:sz w:val="32"/>
          <w:szCs w:val="32"/>
          <w:lang w:val="en-US" w:eastAsia="zh-CN"/>
        </w:rPr>
        <w:t>4号）</w:t>
      </w:r>
      <w:r>
        <w:rPr>
          <w:rFonts w:hint="eastAsia" w:ascii="仿宋_GB2312" w:hAnsi="仿宋_GB2312" w:eastAsia="仿宋_GB2312" w:cs="仿宋_GB2312"/>
          <w:kern w:val="2"/>
          <w:sz w:val="32"/>
          <w:szCs w:val="32"/>
          <w:lang w:val="en-US" w:eastAsia="zh-CN" w:bidi="ar-SA"/>
        </w:rPr>
        <w:t>。</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本次送审穿紫河东段水系综合治理工程－驳岸风光带一期（七里桥至柏园桥段）服务性前期费，评审编号X202562号。</w:t>
      </w:r>
      <w:r>
        <w:rPr>
          <w:rFonts w:hint="eastAsia" w:ascii="仿宋_GB2312" w:hAnsi="仿宋_GB2312" w:eastAsia="仿宋_GB2312" w:cs="仿宋_GB2312"/>
          <w:spacing w:val="-11"/>
          <w:sz w:val="32"/>
          <w:szCs w:val="32"/>
          <w:lang w:val="en-US" w:eastAsia="zh-CN"/>
        </w:rPr>
        <w:t>送审内容</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kern w:val="2"/>
          <w:sz w:val="32"/>
          <w:szCs w:val="32"/>
          <w:lang w:val="en-US" w:eastAsia="zh-CN" w:bidi="ar-SA"/>
        </w:rPr>
        <w:t>测绘费、施工图审查费、造价咨询费、监理费、建设单位管理费、防雷技术费及第三方结算审核费。</w:t>
      </w:r>
    </w:p>
    <w:p w14:paraId="0E924C2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四、存在的问题</w:t>
      </w:r>
    </w:p>
    <w:p w14:paraId="66E0D9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监理费未计取园林绿化专业调整系数0.8；</w:t>
      </w:r>
    </w:p>
    <w:p w14:paraId="569F16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第三方机构结算审核误差率达11.24%，无绩效付费。</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val="en-US" w:eastAsia="zh-CN"/>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zh-CN"/>
        </w:rPr>
        <w:t>该服务性前期费</w:t>
      </w:r>
      <w:r>
        <w:rPr>
          <w:rFonts w:hint="eastAsia" w:ascii="仿宋_GB2312" w:hAnsi="仿宋_GB2312" w:eastAsia="仿宋_GB2312" w:cs="仿宋_GB2312"/>
          <w:color w:val="auto"/>
          <w:sz w:val="32"/>
          <w:szCs w:val="32"/>
          <w:lang w:val="en-US" w:eastAsia="zh-CN"/>
        </w:rPr>
        <w:t>报</w:t>
      </w:r>
      <w:r>
        <w:rPr>
          <w:rFonts w:hint="eastAsia" w:ascii="仿宋_GB2312" w:hAnsi="仿宋_GB2312" w:eastAsia="仿宋_GB2312" w:cs="仿宋_GB2312"/>
          <w:color w:val="auto"/>
          <w:sz w:val="32"/>
          <w:szCs w:val="32"/>
          <w:lang w:val="zh-CN"/>
        </w:rPr>
        <w:t>送</w:t>
      </w:r>
      <w:r>
        <w:rPr>
          <w:rFonts w:hint="eastAsia" w:ascii="仿宋_GB2312" w:hAnsi="仿宋_GB2312" w:eastAsia="仿宋_GB2312" w:cs="仿宋_GB2312"/>
          <w:color w:val="auto"/>
          <w:sz w:val="32"/>
          <w:szCs w:val="32"/>
          <w:lang w:val="en-US" w:eastAsia="zh-CN"/>
        </w:rPr>
        <w:t>评</w:t>
      </w:r>
      <w:r>
        <w:rPr>
          <w:rFonts w:hint="eastAsia" w:ascii="仿宋_GB2312" w:hAnsi="仿宋_GB2312" w:eastAsia="仿宋_GB2312" w:cs="仿宋_GB2312"/>
          <w:color w:val="auto"/>
          <w:sz w:val="32"/>
          <w:szCs w:val="32"/>
          <w:lang w:val="zh-CN"/>
        </w:rPr>
        <w:t>审金额</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color w:val="auto"/>
          <w:sz w:val="32"/>
          <w:szCs w:val="32"/>
          <w:lang w:val="en-US" w:eastAsia="zh-CN"/>
        </w:rPr>
        <w:t>第三方审核金额）1903778</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color w:val="auto"/>
          <w:sz w:val="32"/>
          <w:szCs w:val="32"/>
          <w:lang w:val="en-US" w:eastAsia="zh-CN"/>
        </w:rPr>
        <w:t>，评审发现问题</w:t>
      </w:r>
      <w:r>
        <w:rPr>
          <w:rFonts w:hint="eastAsia" w:ascii="仿宋_GB2312" w:hAnsi="仿宋_GB2312" w:eastAsia="仿宋_GB2312" w:cs="仿宋_GB2312"/>
          <w:color w:val="auto"/>
          <w:sz w:val="32"/>
          <w:szCs w:val="32"/>
          <w:lang w:val="zh-CN" w:eastAsia="zh-CN"/>
        </w:rPr>
        <w:t>金额</w:t>
      </w:r>
      <w:r>
        <w:rPr>
          <w:rFonts w:hint="eastAsia" w:ascii="仿宋_GB2312" w:hAnsi="仿宋_GB2312" w:eastAsia="仿宋_GB2312" w:cs="仿宋_GB2312"/>
          <w:color w:val="auto"/>
          <w:sz w:val="32"/>
          <w:szCs w:val="32"/>
          <w:lang w:val="en-US" w:eastAsia="zh-CN"/>
        </w:rPr>
        <w:t>213990</w:t>
      </w:r>
      <w:r>
        <w:rPr>
          <w:rFonts w:hint="eastAsia" w:ascii="仿宋_GB2312" w:hAnsi="仿宋_GB2312" w:eastAsia="仿宋_GB2312" w:cs="仿宋_GB2312"/>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kern w:val="2"/>
          <w:sz w:val="32"/>
          <w:szCs w:val="32"/>
          <w:lang w:val="en-US" w:eastAsia="zh-CN" w:bidi="ar-SA"/>
        </w:rPr>
        <w:t>六、</w:t>
      </w:r>
      <w:r>
        <w:rPr>
          <w:rFonts w:hint="eastAsia" w:ascii="黑体" w:hAnsi="黑体" w:eastAsia="黑体" w:cs="黑体"/>
          <w:b w:val="0"/>
          <w:bCs w:val="0"/>
          <w:sz w:val="32"/>
          <w:szCs w:val="32"/>
          <w:lang w:val="en-US" w:eastAsia="zh-CN"/>
        </w:rPr>
        <w:t>有关说明</w:t>
      </w:r>
    </w:p>
    <w:p w14:paraId="327F2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 根据送审资料显示，该工程全部服务性前期费已清理完毕。除本次已审结费用外，设计费、勘察费及工程检测费</w:t>
      </w:r>
      <w:r>
        <w:rPr>
          <w:rFonts w:hint="eastAsia" w:ascii="仿宋_GB2312" w:hAnsi="仿宋_GB2312" w:eastAsia="仿宋_GB2312" w:cs="仿宋_GB2312"/>
          <w:kern w:val="2"/>
          <w:sz w:val="32"/>
          <w:szCs w:val="32"/>
          <w:lang w:val="en-US" w:eastAsia="zh-CN" w:bidi="ar-SA"/>
        </w:rPr>
        <w:t>缺乏关键资料</w:t>
      </w:r>
      <w:r>
        <w:rPr>
          <w:rFonts w:hint="eastAsia" w:ascii="仿宋_GB2312" w:hAnsi="仿宋_GB2312" w:eastAsia="仿宋_GB2312" w:cs="仿宋_GB2312"/>
          <w:color w:val="auto"/>
          <w:kern w:val="2"/>
          <w:sz w:val="32"/>
          <w:szCs w:val="32"/>
          <w:lang w:val="en-US" w:eastAsia="zh-CN" w:bidi="ar-SA"/>
        </w:rPr>
        <w:t>，本次未予送审，劳保基金凭缴纳票据直接列入项目决算成本；</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lang w:val="en-US" w:eastAsia="zh-CN"/>
        </w:rPr>
        <w:t>对纳入审计监督范围项目，</w:t>
      </w:r>
      <w:r>
        <w:rPr>
          <w:rFonts w:hint="eastAsia" w:ascii="仿宋_GB2312" w:hAnsi="仿宋_GB2312" w:eastAsia="仿宋_GB2312" w:cs="仿宋_GB2312"/>
          <w:sz w:val="32"/>
          <w:szCs w:val="32"/>
          <w:highlight w:val="none"/>
          <w:lang w:val="en-US" w:eastAsia="zh-CN"/>
        </w:rPr>
        <w:t>业主</w:t>
      </w:r>
      <w:r>
        <w:rPr>
          <w:rFonts w:hint="eastAsia" w:ascii="仿宋_GB2312" w:hAnsi="仿宋_GB2312" w:eastAsia="仿宋_GB2312" w:cs="仿宋_GB2312"/>
          <w:sz w:val="32"/>
          <w:szCs w:val="32"/>
          <w:highlight w:val="none"/>
        </w:rPr>
        <w:t>单位应及时将完整的结算竣工资料报送市审计局，并积极主动配合审计监督工作</w:t>
      </w:r>
      <w:r>
        <w:rPr>
          <w:rFonts w:hint="eastAsia" w:ascii="仿宋_GB2312" w:hAnsi="仿宋_GB2312" w:eastAsia="仿宋_GB2312" w:cs="仿宋_GB2312"/>
          <w:sz w:val="32"/>
          <w:szCs w:val="32"/>
          <w:lang w:val="en-US" w:eastAsia="zh-CN"/>
        </w:rPr>
        <w:t>，后续如因资料增加或缺失、内容变更造成的费用调整，由业主单位自行负责。</w:t>
      </w:r>
    </w:p>
    <w:p w14:paraId="5269E8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1F12FC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44875B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常德市财政局投资评审中心</w:t>
      </w:r>
    </w:p>
    <w:p w14:paraId="59E836BF">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日</w:t>
      </w:r>
    </w:p>
    <w:p w14:paraId="2B1B6D3D">
      <w:pPr>
        <w:numPr>
          <w:ilvl w:val="0"/>
          <w:numId w:val="0"/>
        </w:numPr>
        <w:ind w:firstLine="640" w:firstLineChars="200"/>
        <w:rPr>
          <w:rFonts w:hint="eastAsia" w:ascii="仿宋_GB2312" w:hAnsi="仿宋_GB2312" w:eastAsia="仿宋_GB2312" w:cs="仿宋_GB2312"/>
          <w:sz w:val="32"/>
          <w:szCs w:val="32"/>
          <w:lang w:val="en-US" w:eastAsia="zh-CN"/>
        </w:rPr>
      </w:pPr>
    </w:p>
    <w:p w14:paraId="1D4A80C0">
      <w:pPr>
        <w:numPr>
          <w:ilvl w:val="0"/>
          <w:numId w:val="0"/>
        </w:numPr>
        <w:rPr>
          <w:rFonts w:hint="eastAsia" w:ascii="方正仿宋_GB2312" w:hAnsi="方正仿宋_GB2312" w:eastAsia="方正仿宋_GB2312" w:cs="方正仿宋_GB2312"/>
          <w:sz w:val="32"/>
          <w:szCs w:val="32"/>
          <w:lang w:val="en-US" w:eastAsia="zh-CN"/>
        </w:rPr>
      </w:pPr>
    </w:p>
    <w:p w14:paraId="075A93C3">
      <w:pPr>
        <w:numPr>
          <w:ilvl w:val="0"/>
          <w:numId w:val="0"/>
        </w:numPr>
        <w:rPr>
          <w:rFonts w:hint="eastAsia" w:ascii="方正仿宋_GB2312" w:hAnsi="方正仿宋_GB2312" w:eastAsia="方正仿宋_GB2312" w:cs="方正仿宋_GB2312"/>
          <w:sz w:val="32"/>
          <w:szCs w:val="32"/>
          <w:lang w:val="en-US" w:eastAsia="zh-CN"/>
        </w:rPr>
      </w:pPr>
    </w:p>
    <w:p w14:paraId="22C90EA7">
      <w:pPr>
        <w:numPr>
          <w:ilvl w:val="0"/>
          <w:numId w:val="0"/>
        </w:numPr>
        <w:rPr>
          <w:rFonts w:hint="eastAsia" w:ascii="方正仿宋_GB2312" w:hAnsi="方正仿宋_GB2312" w:eastAsia="方正仿宋_GB2312" w:cs="方正仿宋_GB2312"/>
          <w:sz w:val="32"/>
          <w:szCs w:val="32"/>
          <w:lang w:val="en-US" w:eastAsia="zh-CN"/>
        </w:rPr>
      </w:pPr>
    </w:p>
    <w:p w14:paraId="43A14DB6">
      <w:pPr>
        <w:numPr>
          <w:ilvl w:val="0"/>
          <w:numId w:val="0"/>
        </w:numPr>
        <w:rPr>
          <w:rFonts w:hint="eastAsia" w:ascii="方正仿宋_GB2312" w:hAnsi="方正仿宋_GB2312" w:eastAsia="方正仿宋_GB2312" w:cs="方正仿宋_GB2312"/>
          <w:sz w:val="32"/>
          <w:szCs w:val="32"/>
          <w:lang w:val="en-US" w:eastAsia="zh-CN"/>
        </w:rPr>
      </w:pPr>
    </w:p>
    <w:p w14:paraId="23FE6305">
      <w:pPr>
        <w:numPr>
          <w:ilvl w:val="0"/>
          <w:numId w:val="0"/>
        </w:numPr>
        <w:rPr>
          <w:rFonts w:hint="eastAsia" w:ascii="方正仿宋_GB2312" w:hAnsi="方正仿宋_GB2312" w:eastAsia="方正仿宋_GB2312" w:cs="方正仿宋_GB2312"/>
          <w:sz w:val="32"/>
          <w:szCs w:val="32"/>
          <w:lang w:val="en-US" w:eastAsia="zh-CN"/>
        </w:rPr>
      </w:pPr>
    </w:p>
    <w:p w14:paraId="29A52EAA">
      <w:pPr>
        <w:numPr>
          <w:ilvl w:val="0"/>
          <w:numId w:val="0"/>
        </w:numPr>
        <w:rPr>
          <w:rFonts w:hint="eastAsia" w:ascii="方正仿宋_GB2312" w:hAnsi="方正仿宋_GB2312" w:eastAsia="方正仿宋_GB2312" w:cs="方正仿宋_GB2312"/>
          <w:sz w:val="32"/>
          <w:szCs w:val="32"/>
          <w:lang w:val="en-US" w:eastAsia="zh-CN"/>
        </w:rPr>
      </w:pPr>
    </w:p>
    <w:p w14:paraId="64856826">
      <w:pPr>
        <w:numPr>
          <w:ilvl w:val="0"/>
          <w:numId w:val="0"/>
        </w:numPr>
        <w:rPr>
          <w:rFonts w:hint="eastAsia" w:ascii="方正仿宋_GB2312" w:hAnsi="方正仿宋_GB2312" w:eastAsia="方正仿宋_GB2312" w:cs="方正仿宋_GB2312"/>
          <w:sz w:val="32"/>
          <w:szCs w:val="32"/>
          <w:lang w:val="en-US" w:eastAsia="zh-CN"/>
        </w:rPr>
      </w:pPr>
    </w:p>
    <w:p w14:paraId="2A47986C">
      <w:pPr>
        <w:numPr>
          <w:ilvl w:val="0"/>
          <w:numId w:val="0"/>
        </w:numPr>
        <w:rPr>
          <w:rFonts w:hint="eastAsia" w:ascii="方正仿宋_GB2312" w:hAnsi="方正仿宋_GB2312" w:eastAsia="方正仿宋_GB2312" w:cs="方正仿宋_GB2312"/>
          <w:sz w:val="32"/>
          <w:szCs w:val="32"/>
          <w:lang w:val="en-US" w:eastAsia="zh-CN"/>
        </w:rPr>
      </w:pPr>
      <w:bookmarkStart w:id="0" w:name="_GoBack"/>
      <w:bookmarkEnd w:id="0"/>
    </w:p>
    <w:p w14:paraId="63E86816">
      <w:pPr>
        <w:numPr>
          <w:ilvl w:val="0"/>
          <w:numId w:val="0"/>
        </w:num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附表</w:t>
      </w:r>
    </w:p>
    <w:tbl>
      <w:tblPr>
        <w:tblStyle w:val="4"/>
        <w:tblW w:w="92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9"/>
        <w:gridCol w:w="2401"/>
        <w:gridCol w:w="2625"/>
        <w:gridCol w:w="1830"/>
        <w:gridCol w:w="1680"/>
      </w:tblGrid>
      <w:tr w14:paraId="7DA47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9256" w:type="dxa"/>
            <w:gridSpan w:val="5"/>
            <w:tcBorders>
              <w:top w:val="nil"/>
              <w:left w:val="nil"/>
              <w:bottom w:val="nil"/>
              <w:right w:val="nil"/>
            </w:tcBorders>
            <w:shd w:val="clear" w:color="auto" w:fill="auto"/>
            <w:vAlign w:val="top"/>
          </w:tcPr>
          <w:p w14:paraId="50F76B33">
            <w:pPr>
              <w:keepNext w:val="0"/>
              <w:keepLines w:val="0"/>
              <w:widowControl/>
              <w:suppressLineNumbers w:val="0"/>
              <w:jc w:val="center"/>
              <w:textAlignment w:val="top"/>
              <w:rPr>
                <w:rFonts w:hint="eastAsia" w:ascii="宋体" w:hAnsi="宋体" w:eastAsia="宋体" w:cs="宋体"/>
                <w:i w:val="0"/>
                <w:iCs w:val="0"/>
                <w:color w:val="000000"/>
                <w:kern w:val="0"/>
                <w:sz w:val="44"/>
                <w:szCs w:val="44"/>
                <w:u w:val="none"/>
                <w:lang w:val="en-US" w:eastAsia="zh-CN" w:bidi="ar"/>
              </w:rPr>
            </w:pPr>
            <w:r>
              <w:rPr>
                <w:rFonts w:hint="eastAsia" w:ascii="宋体" w:hAnsi="宋体" w:eastAsia="宋体" w:cs="宋体"/>
                <w:i w:val="0"/>
                <w:iCs w:val="0"/>
                <w:color w:val="000000"/>
                <w:kern w:val="0"/>
                <w:sz w:val="44"/>
                <w:szCs w:val="44"/>
                <w:u w:val="none"/>
                <w:lang w:val="en-US" w:eastAsia="zh-CN" w:bidi="ar"/>
              </w:rPr>
              <w:t>穿紫河东段水系综合治理工程－驳岸风光带一期工程（七里桥至柏园桥）服务性前期费</w:t>
            </w:r>
          </w:p>
          <w:p w14:paraId="5091556F">
            <w:pPr>
              <w:keepNext w:val="0"/>
              <w:keepLines w:val="0"/>
              <w:widowControl/>
              <w:suppressLineNumbers w:val="0"/>
              <w:jc w:val="center"/>
              <w:textAlignment w:val="top"/>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发现问题情况汇总表</w:t>
            </w:r>
          </w:p>
        </w:tc>
      </w:tr>
      <w:tr w14:paraId="0D75B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256" w:type="dxa"/>
            <w:gridSpan w:val="5"/>
            <w:tcBorders>
              <w:top w:val="nil"/>
              <w:left w:val="nil"/>
              <w:bottom w:val="nil"/>
              <w:right w:val="nil"/>
            </w:tcBorders>
            <w:shd w:val="clear" w:color="auto" w:fill="auto"/>
            <w:vAlign w:val="center"/>
          </w:tcPr>
          <w:p w14:paraId="250CDD50">
            <w:pPr>
              <w:keepNext w:val="0"/>
              <w:keepLines w:val="0"/>
              <w:widowControl/>
              <w:suppressLineNumbers w:val="0"/>
              <w:jc w:val="right"/>
              <w:textAlignment w:val="center"/>
              <w:rPr>
                <w:rFonts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金额单位：元</w:t>
            </w:r>
          </w:p>
        </w:tc>
      </w:tr>
      <w:tr w14:paraId="7965B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FF5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DC02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项目名称</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8733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报送评审金额</w:t>
            </w:r>
            <w:r>
              <w:rPr>
                <w:rFonts w:hint="eastAsia" w:ascii="仿宋_GB2312" w:hAnsi="仿宋_GB2312" w:eastAsia="仿宋_GB2312" w:cs="仿宋_GB2312"/>
                <w:b/>
                <w:bCs/>
                <w:i w:val="0"/>
                <w:iCs w:val="0"/>
                <w:color w:val="000000"/>
                <w:kern w:val="0"/>
                <w:sz w:val="24"/>
                <w:szCs w:val="24"/>
                <w:u w:val="none"/>
                <w:lang w:val="en-US" w:eastAsia="zh-CN" w:bidi="ar"/>
              </w:rPr>
              <w:br w:type="textWrapping"/>
            </w:r>
            <w:r>
              <w:rPr>
                <w:rFonts w:hint="eastAsia" w:ascii="仿宋_GB2312" w:hAnsi="仿宋_GB2312" w:eastAsia="仿宋_GB2312" w:cs="仿宋_GB2312"/>
                <w:b/>
                <w:bCs/>
                <w:i w:val="0"/>
                <w:iCs w:val="0"/>
                <w:color w:val="000000"/>
                <w:kern w:val="0"/>
                <w:sz w:val="24"/>
                <w:szCs w:val="24"/>
                <w:u w:val="none"/>
                <w:lang w:val="en-US" w:eastAsia="zh-CN" w:bidi="ar"/>
              </w:rPr>
              <w:t>（第三方审核金额）</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39EB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评审发现问题金额</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E3A9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备 注</w:t>
            </w:r>
          </w:p>
        </w:tc>
      </w:tr>
      <w:tr w14:paraId="388A9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B7A6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0" w:type="auto"/>
            <w:tcBorders>
              <w:top w:val="nil"/>
              <w:left w:val="nil"/>
              <w:bottom w:val="nil"/>
              <w:right w:val="nil"/>
            </w:tcBorders>
            <w:shd w:val="clear" w:color="auto" w:fill="auto"/>
            <w:noWrap/>
            <w:vAlign w:val="center"/>
          </w:tcPr>
          <w:p w14:paraId="4F762B7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地籍测绘费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4E7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2880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966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1E9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市国土测绘院</w:t>
            </w:r>
          </w:p>
        </w:tc>
      </w:tr>
      <w:tr w14:paraId="1799A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C4E2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6B38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控制点测绘及打印图纸费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26A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7455</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F5EB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9476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市规划建筑设计院</w:t>
            </w:r>
          </w:p>
        </w:tc>
      </w:tr>
      <w:tr w14:paraId="1AD4F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6543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FF36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施工图审查费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598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31354</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E33D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125F">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r w14:paraId="580AF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0A71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F0A4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造价咨询费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5216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174858</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2443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341BE">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r w14:paraId="2022C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5EB7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64B7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监理费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EB9A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1076175</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B9DA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-211305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FC96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未计取园林绿化专业调整系数0.8</w:t>
            </w:r>
          </w:p>
        </w:tc>
      </w:tr>
      <w:tr w14:paraId="04492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CBC6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CCE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建设单位管理费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3A3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598983</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221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24429">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r w14:paraId="7446A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AAFC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E81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防雷技术费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99B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3388</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61F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D84C">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r w14:paraId="278C5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BCC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4D0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第三方结算审核费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F2D1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8685</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3E4D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-2685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B208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误差率11.24%无绩效付费</w:t>
            </w:r>
          </w:p>
        </w:tc>
      </w:tr>
      <w:tr w14:paraId="2BEA6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408580DF">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0FD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合  计</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41D0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1903778</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79AA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-213990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5C7D">
            <w:pPr>
              <w:ind w:left="0" w:leftChars="0" w:right="0" w:rightChars="0" w:firstLine="0" w:firstLineChars="0"/>
              <w:jc w:val="center"/>
              <w:rPr>
                <w:rFonts w:hint="eastAsia" w:ascii="仿宋_GB2312" w:hAnsi="仿宋_GB2312" w:eastAsia="仿宋_GB2312" w:cs="仿宋_GB2312"/>
                <w:i w:val="0"/>
                <w:iCs w:val="0"/>
                <w:color w:val="000000"/>
                <w:sz w:val="24"/>
                <w:szCs w:val="24"/>
                <w:u w:val="none"/>
              </w:rPr>
            </w:pPr>
          </w:p>
        </w:tc>
      </w:tr>
    </w:tbl>
    <w:p w14:paraId="77FF632C">
      <w:pPr>
        <w:numPr>
          <w:ilvl w:val="0"/>
          <w:numId w:val="0"/>
        </w:numPr>
        <w:rPr>
          <w:rFonts w:hint="default" w:ascii="方正仿宋_GB2312" w:hAnsi="方正仿宋_GB2312" w:eastAsia="方正仿宋_GB2312" w:cs="方正仿宋_GB2312"/>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BA389CE-2569-495D-BB7F-7CF061C7642A}"/>
  </w:font>
  <w:font w:name="黑体">
    <w:panose1 w:val="02010609060101010101"/>
    <w:charset w:val="86"/>
    <w:family w:val="auto"/>
    <w:pitch w:val="default"/>
    <w:sig w:usb0="800002BF" w:usb1="38CF7CFA" w:usb2="00000016" w:usb3="00000000" w:csb0="00040001" w:csb1="00000000"/>
    <w:embedRegular r:id="rId2" w:fontKey="{0720C002-72E2-4C48-A981-5FD66D47B9C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C8F5ADE9-A067-4A41-A043-9A77FD3A4431}"/>
  </w:font>
  <w:font w:name="仿宋">
    <w:panose1 w:val="02010609060101010101"/>
    <w:charset w:val="86"/>
    <w:family w:val="modern"/>
    <w:pitch w:val="default"/>
    <w:sig w:usb0="800002BF" w:usb1="38CF7CFA" w:usb2="00000016" w:usb3="00000000" w:csb0="00040001" w:csb1="00000000"/>
    <w:embedRegular r:id="rId4" w:fontKey="{4A073D7D-6731-4660-88E5-3E1A6C91FCE3}"/>
  </w:font>
  <w:font w:name="方正仿宋_GB2312">
    <w:panose1 w:val="02000000000000000000"/>
    <w:charset w:val="86"/>
    <w:family w:val="auto"/>
    <w:pitch w:val="default"/>
    <w:sig w:usb0="A00002BF" w:usb1="184F6CFA" w:usb2="00000012" w:usb3="00000000" w:csb0="00040001" w:csb1="00000000"/>
    <w:embedRegular r:id="rId5" w:fontKey="{B83A3E60-F3ED-4C95-B187-A8E82E52BBC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E60A9C"/>
    <w:rsid w:val="016722DB"/>
    <w:rsid w:val="09B47E91"/>
    <w:rsid w:val="0A9877F2"/>
    <w:rsid w:val="0D68308B"/>
    <w:rsid w:val="0D69625F"/>
    <w:rsid w:val="0DEB339B"/>
    <w:rsid w:val="122A36D2"/>
    <w:rsid w:val="12971BF6"/>
    <w:rsid w:val="15F13F67"/>
    <w:rsid w:val="172A60BA"/>
    <w:rsid w:val="1E047E0B"/>
    <w:rsid w:val="1E2131E8"/>
    <w:rsid w:val="1EBE4245"/>
    <w:rsid w:val="1FD61FB0"/>
    <w:rsid w:val="22117FF5"/>
    <w:rsid w:val="2CFF241A"/>
    <w:rsid w:val="2D636E4D"/>
    <w:rsid w:val="2EDD45AC"/>
    <w:rsid w:val="2FB03F14"/>
    <w:rsid w:val="30472667"/>
    <w:rsid w:val="315264A7"/>
    <w:rsid w:val="32B22189"/>
    <w:rsid w:val="34FD4D20"/>
    <w:rsid w:val="40B7508E"/>
    <w:rsid w:val="471377FA"/>
    <w:rsid w:val="47584DBF"/>
    <w:rsid w:val="49837F30"/>
    <w:rsid w:val="4CC27294"/>
    <w:rsid w:val="4D8030EB"/>
    <w:rsid w:val="4F8356CE"/>
    <w:rsid w:val="513D15DF"/>
    <w:rsid w:val="5351177D"/>
    <w:rsid w:val="54DD333B"/>
    <w:rsid w:val="54EA3F8A"/>
    <w:rsid w:val="5922354D"/>
    <w:rsid w:val="5AB65211"/>
    <w:rsid w:val="5E5F6603"/>
    <w:rsid w:val="60B51595"/>
    <w:rsid w:val="635527B8"/>
    <w:rsid w:val="638D1C65"/>
    <w:rsid w:val="65C27948"/>
    <w:rsid w:val="68AB2CCF"/>
    <w:rsid w:val="6A7618A7"/>
    <w:rsid w:val="6F8F04BD"/>
    <w:rsid w:val="77D376CA"/>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61"/>
    <w:basedOn w:val="5"/>
    <w:qFormat/>
    <w:uiPriority w:val="0"/>
    <w:rPr>
      <w:rFonts w:hint="eastAsia"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1120</Words>
  <Characters>1288</Characters>
  <Lines>0</Lines>
  <Paragraphs>0</Paragraphs>
  <TotalTime>5</TotalTime>
  <ScaleCrop>false</ScaleCrop>
  <LinksUpToDate>false</LinksUpToDate>
  <CharactersWithSpaces>1302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2026-01-06T01:23:00Z</cp:lastPrinted>
  <dcterms:modified xsi:type="dcterms:W3CDTF">2026-04-10T01:31:54Z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