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6A7C4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  <w:bookmarkStart w:id="0" w:name="_Toc678217306_WPSOffice_Level1"/>
      <w:bookmarkStart w:id="1" w:name="_Toc178124550_WPSOffice_Level1"/>
      <w:bookmarkStart w:id="2" w:name="_Toc2123423747_WPSOffice_Level1"/>
      <w:bookmarkStart w:id="3" w:name="_Toc1670908148_WPSOffice_Level1"/>
    </w:p>
    <w:p w14:paraId="61C93711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</w:pPr>
    </w:p>
    <w:p w14:paraId="1A9CE95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54A35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0B0DE4B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3961E1E7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28F4C4A3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01660C84">
      <w:pPr>
        <w:spacing w:line="600" w:lineRule="exact"/>
        <w:jc w:val="center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常财审</w:t>
      </w:r>
      <w:r>
        <w:rPr>
          <w:rFonts w:hint="eastAsia" w:ascii="仿宋_GB2312" w:hAnsi="仿宋_GB2312" w:eastAsia="仿宋_GB2312"/>
          <w:sz w:val="32"/>
        </w:rPr>
        <w:t>〔202</w:t>
      </w:r>
      <w:r>
        <w:rPr>
          <w:rFonts w:hint="eastAsia" w:ascii="仿宋_GB2312" w:hAnsi="仿宋_GB2312" w:eastAsia="仿宋_GB2312"/>
          <w:sz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</w:rPr>
        <w:t>〕预</w:t>
      </w:r>
      <w:r>
        <w:rPr>
          <w:rFonts w:hint="eastAsia" w:ascii="仿宋_GB2312" w:eastAsia="仿宋_GB2312"/>
          <w:sz w:val="32"/>
        </w:rPr>
        <w:t>字</w:t>
      </w:r>
      <w:r>
        <w:rPr>
          <w:rFonts w:hint="eastAsia" w:ascii="仿宋_GB2312" w:eastAsia="仿宋_GB2312"/>
          <w:sz w:val="32"/>
          <w:lang w:val="en-US" w:eastAsia="zh-CN"/>
        </w:rPr>
        <w:t>10</w:t>
      </w:r>
      <w:r>
        <w:rPr>
          <w:rFonts w:hint="eastAsia" w:ascii="仿宋_GB2312" w:eastAsia="仿宋_GB2312"/>
          <w:sz w:val="32"/>
        </w:rPr>
        <w:t>号</w:t>
      </w:r>
    </w:p>
    <w:p w14:paraId="4C6261E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352A6C43">
      <w:pPr>
        <w:pStyle w:val="11"/>
        <w:spacing w:line="600" w:lineRule="exact"/>
        <w:jc w:val="center"/>
        <w:outlineLvl w:val="0"/>
        <w:rPr>
          <w:rFonts w:hint="eastAsia" w:ascii="宋体" w:hAnsi="宋体" w:eastAsia="宋体" w:cs="宋体"/>
          <w:color w:val="000000"/>
          <w:sz w:val="44"/>
          <w:lang w:eastAsia="zh-CN"/>
        </w:rPr>
      </w:pPr>
      <w:r>
        <w:rPr>
          <w:rFonts w:hint="eastAsia" w:ascii="宋体" w:hAnsi="宋体" w:eastAsia="宋体" w:cs="宋体"/>
          <w:color w:val="000000"/>
          <w:sz w:val="44"/>
          <w:lang w:eastAsia="zh-CN"/>
        </w:rPr>
        <w:t>关于竹根潭闸建设工程预算执行的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color w:val="000000"/>
          <w:sz w:val="44"/>
          <w:lang w:eastAsia="zh-CN"/>
        </w:rPr>
        <w:t>评审报告</w:t>
      </w:r>
    </w:p>
    <w:p w14:paraId="37880DBF">
      <w:pPr>
        <w:keepNext w:val="0"/>
        <w:keepLines w:val="0"/>
        <w:pageBreakBefore w:val="0"/>
        <w:widowControl w:val="0"/>
        <w:kinsoku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</w:p>
    <w:p w14:paraId="79843632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常德市财政局经济建设科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</w:p>
    <w:p w14:paraId="602005E3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竹根潭闸建设工程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》相关资料收悉，按照客观、公正、科学的评审原则，我中心组织对该项目开展预算执行评审，具体情况如下：</w:t>
      </w:r>
    </w:p>
    <w:p w14:paraId="478EBAB1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0"/>
        <w:rPr>
          <w:rFonts w:hint="eastAsia" w:ascii="黑体" w:hAnsi="黑体" w:eastAsia="黑体" w:cs="黑体"/>
          <w:color w:val="000000"/>
          <w:sz w:val="32"/>
          <w:szCs w:val="32"/>
        </w:rPr>
      </w:pPr>
      <w:bookmarkStart w:id="4" w:name="_Toc215626143_WPSOffice_Level1"/>
      <w:bookmarkStart w:id="5" w:name="_Toc445877422_WPSOffice_Level1"/>
      <w:bookmarkStart w:id="6" w:name="_Toc1862220243_WPSOffice_Level1"/>
      <w:bookmarkStart w:id="7" w:name="_Toc891472834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  <w:bookmarkEnd w:id="4"/>
      <w:bookmarkEnd w:id="5"/>
      <w:bookmarkEnd w:id="6"/>
      <w:bookmarkEnd w:id="7"/>
    </w:p>
    <w:p w14:paraId="499D015A">
      <w:pPr>
        <w:keepNext w:val="0"/>
        <w:keepLines w:val="0"/>
        <w:pageBreakBefore w:val="0"/>
        <w:widowControl w:val="0"/>
        <w:kinsoku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ascii="Times New Roman" w:hAnsi="Times New Roman" w:eastAsia="楷体_GB2312"/>
          <w:b w:val="0"/>
          <w:bCs w:val="0"/>
          <w:sz w:val="32"/>
          <w:szCs w:val="32"/>
        </w:rPr>
      </w:pPr>
      <w:bookmarkStart w:id="8" w:name="_Toc222933592_WPSOffice_Level2"/>
      <w:bookmarkStart w:id="9" w:name="_Toc90632560_WPSOffice_Level2"/>
      <w:bookmarkStart w:id="10" w:name="_Toc472741964_WPSOffice_Level2"/>
      <w:bookmarkStart w:id="11" w:name="_Toc1067922961_WPSOffice_Level2"/>
      <w:r>
        <w:rPr>
          <w:rFonts w:ascii="Times New Roman" w:hAnsi="Times New Roman" w:eastAsia="楷体_GB2312"/>
          <w:b w:val="0"/>
          <w:bCs w:val="0"/>
          <w:sz w:val="32"/>
          <w:szCs w:val="32"/>
        </w:rPr>
        <w:t>（一）项目基本情况</w:t>
      </w:r>
      <w:bookmarkEnd w:id="8"/>
      <w:bookmarkEnd w:id="9"/>
      <w:bookmarkEnd w:id="10"/>
      <w:bookmarkEnd w:id="11"/>
    </w:p>
    <w:p w14:paraId="2749A680">
      <w:pPr>
        <w:keepNext w:val="0"/>
        <w:keepLines w:val="0"/>
        <w:pageBreakBefore w:val="0"/>
        <w:widowControl w:val="0"/>
        <w:kinsoku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项目根据常发改投资〔2025〕309号《关于竹根潭闸建设项目可行性研究报告的批复》立项，估算总投资286万元。</w:t>
      </w:r>
    </w:p>
    <w:p w14:paraId="4F8536F2">
      <w:pPr>
        <w:keepNext w:val="0"/>
        <w:keepLines w:val="0"/>
        <w:pageBreakBefore w:val="0"/>
        <w:widowControl w:val="0"/>
        <w:kinsoku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ascii="Times New Roman" w:hAnsi="Times New Roman" w:eastAsia="楷体_GB2312"/>
          <w:b w:val="0"/>
          <w:bCs w:val="0"/>
          <w:sz w:val="32"/>
          <w:szCs w:val="32"/>
        </w:rPr>
      </w:pPr>
      <w:bookmarkStart w:id="12" w:name="_Toc1094448419_WPSOffice_Level2"/>
      <w:bookmarkStart w:id="13" w:name="_Toc1446308865_WPSOffice_Level2"/>
      <w:bookmarkStart w:id="14" w:name="_Toc830963703_WPSOffice_Level2"/>
      <w:bookmarkStart w:id="15" w:name="_Toc1069041809_WPSOffice_Level2"/>
      <w:r>
        <w:rPr>
          <w:rFonts w:ascii="Times New Roman" w:hAnsi="Times New Roman" w:eastAsia="楷体_GB2312"/>
          <w:b w:val="0"/>
          <w:bCs w:val="0"/>
          <w:sz w:val="32"/>
          <w:szCs w:val="32"/>
        </w:rPr>
        <w:t>（二）项目主要内容及申报预算情况</w:t>
      </w:r>
      <w:bookmarkEnd w:id="12"/>
      <w:bookmarkEnd w:id="13"/>
      <w:bookmarkEnd w:id="14"/>
      <w:bookmarkEnd w:id="15"/>
    </w:p>
    <w:p w14:paraId="0E35B847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位于常德市武陵区三星路西侧，处于新河水系和竹根潭水系之间。建设内容在新河水系和竹根潭水系之间建设闸门及箱涵，主要包括25米箱涵及箱涵顶部352米碎石便道建设；同时配套建设PGM平面滑动铸铁闸门、QL手电两用螺旋启闭机等设施设备，初次送审金额285.93万元。于2026年2月27日经项目单位书面申请，资金管理科室同意，新增防洪补救内容，增补送审金额9.81万元。合计送审金额295.74万元。</w:t>
      </w:r>
    </w:p>
    <w:p w14:paraId="56ED41FE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0"/>
        <w:rPr>
          <w:rFonts w:hint="eastAsia" w:ascii="黑体" w:hAnsi="黑体" w:eastAsia="黑体" w:cs="黑体"/>
          <w:color w:val="000000"/>
          <w:sz w:val="32"/>
          <w:szCs w:val="32"/>
        </w:rPr>
      </w:pPr>
      <w:bookmarkStart w:id="16" w:name="_Toc1890145904_WPSOffice_Level1"/>
      <w:bookmarkStart w:id="17" w:name="_Toc182692291_WPSOffice_Level1"/>
      <w:bookmarkStart w:id="18" w:name="_Toc976241670_WPSOffice_Level1"/>
      <w:bookmarkStart w:id="19" w:name="_Toc581615128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二、评审依据</w:t>
      </w:r>
      <w:bookmarkEnd w:id="16"/>
      <w:bookmarkEnd w:id="17"/>
      <w:bookmarkEnd w:id="18"/>
      <w:bookmarkEnd w:id="19"/>
    </w:p>
    <w:p w14:paraId="67099E57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cs="仿宋_GB2312"/>
          <w:sz w:val="32"/>
          <w:szCs w:val="32"/>
        </w:rPr>
        <w:t>《中华人民共和国预算法》《中华人民共和国预算法实施条例》</w:t>
      </w:r>
      <w:r>
        <w:rPr>
          <w:rFonts w:hint="eastAsia" w:ascii="仿宋_GB2312" w:hAnsi="仿宋_GB2312" w:cs="仿宋_GB2312"/>
          <w:bCs/>
          <w:sz w:val="32"/>
          <w:szCs w:val="32"/>
        </w:rPr>
        <w:t>等法律法规。</w:t>
      </w:r>
    </w:p>
    <w:p w14:paraId="016BF95F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eastAsia"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湖南省住房和城乡建设厅《关于执行&lt;建设工程工程量清单计价标准&gt;及配套工程量计算标准的通知》（湘建科函〔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</w:t>
      </w:r>
      <w:r>
        <w:rPr>
          <w:rFonts w:hint="eastAsia" w:ascii="仿宋_GB2312" w:hAnsi="仿宋_GB2312" w:cs="仿宋_GB2312"/>
          <w:sz w:val="32"/>
          <w:szCs w:val="32"/>
        </w:rPr>
        <w:t>0号）。</w:t>
      </w:r>
    </w:p>
    <w:p w14:paraId="770C4D1D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eastAsia"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湖南省住房和城乡建设厅《关于发布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&lt;湖南省建设工程消耗量标准&gt;的通知》（湘建科函〔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151</w:t>
      </w:r>
      <w:r>
        <w:rPr>
          <w:rFonts w:hint="eastAsia" w:ascii="仿宋_GB2312" w:hAnsi="仿宋_GB2312" w:cs="仿宋_GB2312"/>
          <w:sz w:val="32"/>
          <w:szCs w:val="32"/>
        </w:rPr>
        <w:t>号）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。</w:t>
      </w:r>
    </w:p>
    <w:p w14:paraId="023BA61A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outlineLvl w:val="1"/>
        <w:rPr>
          <w:rFonts w:hint="eastAsia" w:ascii="仿宋_GB2312" w:hAnsi="仿宋_GB2312" w:cs="仿宋_GB2312"/>
          <w:sz w:val="32"/>
          <w:szCs w:val="32"/>
        </w:rPr>
      </w:pPr>
      <w:bookmarkStart w:id="20" w:name="_Toc450291478_WPSOffice_Level2"/>
      <w:bookmarkStart w:id="21" w:name="_Toc333544456_WPSOffice_Level2"/>
      <w:bookmarkStart w:id="22" w:name="_Toc479871566_WPSOffice_Level2"/>
      <w:bookmarkStart w:id="23" w:name="_Toc680724078_WPSOffice_Level2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cs="仿宋_GB2312"/>
          <w:sz w:val="32"/>
          <w:szCs w:val="32"/>
        </w:rPr>
        <w:t>常德市建设工程造价管理站《关于公布常德市二○二六年第一期建设工程材料市场综合价的通知》（</w:t>
      </w:r>
      <w:r>
        <w:rPr>
          <w:rFonts w:hint="eastAsia" w:ascii="仿宋_GB2312"/>
          <w:sz w:val="32"/>
          <w:szCs w:val="32"/>
        </w:rPr>
        <w:t>常建价〔2026〕1号</w:t>
      </w:r>
      <w:r>
        <w:rPr>
          <w:rFonts w:hint="eastAsia" w:ascii="仿宋_GB2312" w:hAnsi="仿宋_GB2312" w:cs="仿宋_GB2312"/>
          <w:sz w:val="32"/>
          <w:szCs w:val="32"/>
        </w:rPr>
        <w:t>）及市场价格。</w:t>
      </w:r>
      <w:bookmarkEnd w:id="20"/>
      <w:bookmarkEnd w:id="21"/>
      <w:bookmarkEnd w:id="22"/>
      <w:bookmarkEnd w:id="23"/>
    </w:p>
    <w:p w14:paraId="455FF4A2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outlineLvl w:val="2"/>
        <w:rPr>
          <w:rFonts w:hint="eastAsia" w:ascii="仿宋_GB2312" w:hAnsi="仿宋_GB2312" w:cs="仿宋_GB2312"/>
          <w:sz w:val="32"/>
          <w:szCs w:val="32"/>
        </w:rPr>
      </w:pPr>
      <w:bookmarkStart w:id="24" w:name="_Toc863367060_WPSOffice_Level3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hAnsi="仿宋_GB2312" w:cs="仿宋_GB2312"/>
          <w:sz w:val="32"/>
          <w:szCs w:val="32"/>
        </w:rPr>
        <w:t>其他有关资料。</w:t>
      </w:r>
      <w:bookmarkEnd w:id="24"/>
    </w:p>
    <w:p w14:paraId="0D38C5BF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0"/>
        <w:rPr>
          <w:rFonts w:hint="eastAsia" w:ascii="黑体" w:hAnsi="黑体" w:eastAsia="黑体" w:cs="黑体"/>
          <w:color w:val="000000"/>
          <w:sz w:val="32"/>
          <w:szCs w:val="32"/>
        </w:rPr>
      </w:pPr>
      <w:bookmarkStart w:id="25" w:name="_Toc913869554_WPSOffice_Level1"/>
      <w:bookmarkStart w:id="26" w:name="_Toc1699738589_WPSOffice_Level1"/>
      <w:bookmarkStart w:id="27" w:name="_Toc1890271026_WPSOffice_Level1"/>
      <w:bookmarkStart w:id="28" w:name="_Toc757239869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三、评审结论</w:t>
      </w:r>
      <w:bookmarkEnd w:id="25"/>
      <w:bookmarkEnd w:id="26"/>
      <w:bookmarkEnd w:id="27"/>
      <w:bookmarkEnd w:id="28"/>
    </w:p>
    <w:p w14:paraId="5606E12A">
      <w:pPr>
        <w:keepNext w:val="0"/>
        <w:keepLines w:val="0"/>
        <w:pageBreakBefore w:val="0"/>
        <w:widowControl w:val="0"/>
        <w:kinsoku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该工程施工图预算送审金额为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2957408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元，审定金额为</w:t>
      </w:r>
      <w:r>
        <w:rPr>
          <w:rFonts w:ascii="仿宋_GB2312" w:hAnsi="仿宋_GB2312" w:eastAsia="仿宋_GB2312" w:cs="仿宋_GB2312"/>
          <w:sz w:val="32"/>
          <w:szCs w:val="32"/>
        </w:rPr>
        <w:t>277369</w:t>
      </w:r>
      <w:r>
        <w:rPr>
          <w:rFonts w:hint="eastAsia" w:ascii="仿宋_GB2312" w:hAnsi="仿宋_GB2312" w:eastAsia="仿宋_GB2312" w:cs="仿宋_GB2312"/>
          <w:sz w:val="32"/>
          <w:szCs w:val="32"/>
        </w:rPr>
        <w:t>7元，审减金额为</w:t>
      </w:r>
      <w:r>
        <w:rPr>
          <w:rFonts w:ascii="仿宋_GB2312" w:hAnsi="仿宋_GB2312" w:eastAsia="仿宋_GB2312" w:cs="仿宋_GB2312"/>
          <w:sz w:val="32"/>
          <w:szCs w:val="32"/>
        </w:rPr>
        <w:t>18371</w:t>
      </w:r>
      <w:r>
        <w:rPr>
          <w:rFonts w:hint="eastAsia" w:ascii="仿宋_GB2312" w:hAnsi="仿宋_GB2312" w:eastAsia="仿宋_GB2312" w:cs="仿宋_GB2312"/>
          <w:sz w:val="32"/>
          <w:szCs w:val="32"/>
        </w:rPr>
        <w:t>1元。其中：工程费审减</w:t>
      </w:r>
      <w:r>
        <w:rPr>
          <w:rFonts w:ascii="仿宋_GB2312" w:hAnsi="仿宋_GB2312" w:eastAsia="仿宋_GB2312" w:cs="仿宋_GB2312"/>
          <w:sz w:val="32"/>
          <w:szCs w:val="32"/>
        </w:rPr>
        <w:t>180419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元，前期费审增</w:t>
      </w:r>
      <w:r>
        <w:rPr>
          <w:rFonts w:ascii="仿宋_GB2312" w:hAnsi="仿宋_GB2312" w:eastAsia="仿宋_GB2312" w:cs="仿宋_GB2312"/>
          <w:sz w:val="32"/>
          <w:szCs w:val="32"/>
        </w:rPr>
        <w:t>1081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元，不可预见费审减</w:t>
      </w:r>
      <w:r>
        <w:rPr>
          <w:rFonts w:ascii="仿宋_GB2312" w:hAnsi="仿宋_GB2312" w:eastAsia="仿宋_GB2312" w:cs="仿宋_GB2312"/>
          <w:sz w:val="32"/>
          <w:szCs w:val="32"/>
        </w:rPr>
        <w:t>4372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元。审减主要原因如下：</w:t>
      </w:r>
    </w:p>
    <w:p w14:paraId="04354068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1080" w:leftChars="0" w:hanging="440" w:firstLineChars="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调整</w:t>
      </w:r>
      <w:r>
        <w:rPr>
          <w:rFonts w:hint="eastAsia" w:ascii="仿宋_GB2312" w:hAnsi="仿宋_GB2312" w:cs="仿宋_GB2312"/>
          <w:sz w:val="32"/>
          <w:szCs w:val="32"/>
        </w:rPr>
        <w:t>地基水泥土搅拌桩处理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定额</w:t>
      </w:r>
      <w:r>
        <w:rPr>
          <w:rFonts w:hint="eastAsia" w:ascii="仿宋_GB2312" w:hAnsi="仿宋_GB2312" w:cs="仿宋_GB2312"/>
          <w:sz w:val="32"/>
          <w:szCs w:val="32"/>
        </w:rPr>
        <w:t>子目。</w:t>
      </w:r>
    </w:p>
    <w:p w14:paraId="173DF10B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1080" w:leftChars="0" w:hanging="440" w:firstLineChars="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cs="仿宋_GB2312"/>
          <w:sz w:val="32"/>
          <w:szCs w:val="32"/>
        </w:rPr>
        <w:t>围堰工程量多计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调整定额</w:t>
      </w:r>
      <w:r>
        <w:rPr>
          <w:rFonts w:hint="eastAsia" w:ascii="仿宋_GB2312" w:hAnsi="仿宋_GB2312" w:cs="仿宋_GB2312"/>
          <w:sz w:val="32"/>
          <w:szCs w:val="32"/>
        </w:rPr>
        <w:t>子目。</w:t>
      </w:r>
    </w:p>
    <w:p w14:paraId="18F8BFAA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1080" w:leftChars="0" w:hanging="440" w:firstLineChars="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cs="仿宋_GB2312"/>
          <w:sz w:val="32"/>
          <w:szCs w:val="32"/>
        </w:rPr>
        <w:t>砌筑翼墙、铺种草皮工程量少计。</w:t>
      </w:r>
    </w:p>
    <w:p w14:paraId="75896E5D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1080" w:leftChars="0" w:hanging="440" w:firstLineChars="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cs="仿宋_GB2312"/>
          <w:sz w:val="32"/>
          <w:szCs w:val="32"/>
        </w:rPr>
        <w:t>便道回填土漏计主材。</w:t>
      </w:r>
    </w:p>
    <w:p w14:paraId="534DEE84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1080" w:leftChars="0" w:hanging="440" w:firstLineChars="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hAnsi="仿宋_GB2312" w:cs="仿宋_GB2312"/>
          <w:sz w:val="32"/>
          <w:szCs w:val="32"/>
        </w:rPr>
        <w:t>成品栏杆基础工程量多计。</w:t>
      </w:r>
    </w:p>
    <w:p w14:paraId="3F2AE61B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1080" w:leftChars="0" w:hanging="440" w:firstLineChars="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_GB2312" w:cs="仿宋_GB2312"/>
          <w:sz w:val="32"/>
          <w:szCs w:val="32"/>
        </w:rPr>
        <w:t>电缆主材价格高计。</w:t>
      </w:r>
    </w:p>
    <w:p w14:paraId="057C52B3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1080" w:leftChars="0" w:hanging="440" w:firstLineChars="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7.</w:t>
      </w:r>
      <w:r>
        <w:rPr>
          <w:rFonts w:hint="eastAsia" w:ascii="仿宋_GB2312" w:hAnsi="仿宋_GB2312" w:cs="仿宋_GB2312"/>
          <w:sz w:val="32"/>
          <w:szCs w:val="32"/>
        </w:rPr>
        <w:t>防洪补救注浆钻孔费单价高计。</w:t>
      </w:r>
    </w:p>
    <w:p w14:paraId="4873BA54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1080" w:leftChars="0" w:hanging="440" w:firstLineChars="0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8.</w:t>
      </w:r>
      <w:r>
        <w:rPr>
          <w:rFonts w:hint="eastAsia" w:ascii="仿宋_GB2312" w:hAnsi="仿宋_GB2312" w:cs="仿宋_GB2312"/>
          <w:sz w:val="32"/>
          <w:szCs w:val="32"/>
        </w:rPr>
        <w:t>地勘、测绘、检测费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少</w:t>
      </w:r>
      <w:r>
        <w:rPr>
          <w:rFonts w:hint="eastAsia" w:ascii="仿宋_GB2312" w:hAnsi="仿宋_GB2312" w:cs="仿宋_GB2312"/>
          <w:sz w:val="32"/>
          <w:szCs w:val="32"/>
        </w:rPr>
        <w:t>计。</w:t>
      </w:r>
    </w:p>
    <w:p w14:paraId="1AC00F9F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1080" w:leftChars="0" w:hanging="440" w:firstLineChars="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9.</w:t>
      </w:r>
      <w:r>
        <w:rPr>
          <w:rFonts w:hint="eastAsia" w:ascii="仿宋_GB2312" w:hAnsi="仿宋_GB2312" w:cs="仿宋_GB2312"/>
          <w:sz w:val="32"/>
          <w:szCs w:val="32"/>
        </w:rPr>
        <w:t>建设单位管理费、监理费、设计费、采购代理费高计。</w:t>
      </w:r>
    </w:p>
    <w:p w14:paraId="5A88D344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sz w:val="32"/>
          <w:szCs w:val="32"/>
        </w:rPr>
      </w:pPr>
      <w:bookmarkStart w:id="29" w:name="_Toc1954155083_WPSOffice_Level1"/>
      <w:bookmarkStart w:id="30" w:name="_Toc545252939_WPSOffice_Level1"/>
      <w:bookmarkStart w:id="31" w:name="_Toc308870453_WPSOffice_Level1"/>
      <w:bookmarkStart w:id="32" w:name="_Toc1156470918_WPSOffice_Level1"/>
      <w:r>
        <w:rPr>
          <w:rFonts w:hint="eastAsia" w:ascii="黑体" w:hAnsi="黑体" w:eastAsia="黑体" w:cs="黑体"/>
          <w:sz w:val="32"/>
          <w:szCs w:val="32"/>
        </w:rPr>
        <w:t>四、存在的问题及建议</w:t>
      </w:r>
      <w:bookmarkEnd w:id="29"/>
      <w:bookmarkEnd w:id="30"/>
      <w:bookmarkEnd w:id="31"/>
      <w:bookmarkEnd w:id="32"/>
    </w:p>
    <w:p w14:paraId="7C1109F9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0" w:leftChars="0" w:firstLine="709" w:firstLineChars="0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cs="仿宋_GB2312"/>
          <w:sz w:val="32"/>
          <w:szCs w:val="32"/>
        </w:rPr>
        <w:t>该项目设计说明土袋围堰中心部分可采用粘土填筑，但送审预算未区分计算。评审考虑因现场水下情况不明，暂按送审全部采用土袋围堰，项目单位应根据现场施工情况，采取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经济可行</w:t>
      </w:r>
      <w:r>
        <w:rPr>
          <w:rFonts w:hint="eastAsia" w:ascii="仿宋_GB2312" w:hAnsi="仿宋_GB2312" w:cs="仿宋_GB2312"/>
          <w:sz w:val="32"/>
          <w:szCs w:val="32"/>
        </w:rPr>
        <w:t>方案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优化费用支出</w:t>
      </w:r>
      <w:r>
        <w:rPr>
          <w:rFonts w:hint="eastAsia" w:ascii="仿宋_GB2312" w:hAnsi="仿宋_GB2312" w:cs="仿宋_GB2312"/>
          <w:sz w:val="32"/>
          <w:szCs w:val="32"/>
        </w:rPr>
        <w:t>。</w:t>
      </w:r>
    </w:p>
    <w:p w14:paraId="1263424A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topLinePunct w:val="0"/>
        <w:autoSpaceDE/>
        <w:autoSpaceDN/>
        <w:bidi w:val="0"/>
        <w:adjustRightInd/>
        <w:snapToGrid/>
        <w:spacing w:line="560" w:lineRule="exact"/>
        <w:ind w:left="0" w:leftChars="0" w:firstLine="709" w:firstLineChars="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cs="仿宋_GB2312"/>
          <w:sz w:val="32"/>
          <w:szCs w:val="32"/>
        </w:rPr>
        <w:t>设计图纸说明基坑开挖深度大于等于5m的，需有专家论证的专项施工方案。本工程开挖深度已超5m，但送审未考虑支护方案。项目单位已书面回复现场工况满足放坡开挖条件，评审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根据送审施工</w:t>
      </w:r>
      <w:r>
        <w:rPr>
          <w:rFonts w:hint="eastAsia" w:ascii="仿宋_GB2312" w:hAnsi="仿宋_GB2312" w:cs="仿宋_GB2312"/>
          <w:sz w:val="32"/>
          <w:szCs w:val="32"/>
        </w:rPr>
        <w:t>方案计算，项目单位应根据现场情况审批施工方案，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在预算费用内</w:t>
      </w:r>
      <w:r>
        <w:rPr>
          <w:rFonts w:hint="eastAsia" w:ascii="仿宋_GB2312" w:hAnsi="仿宋_GB2312" w:cs="仿宋_GB2312"/>
          <w:sz w:val="32"/>
          <w:szCs w:val="32"/>
        </w:rPr>
        <w:t>确保施工安全及质量。</w:t>
      </w:r>
    </w:p>
    <w:p w14:paraId="666739B0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0"/>
        <w:rPr>
          <w:rFonts w:hint="eastAsia" w:ascii="黑体" w:hAnsi="黑体" w:eastAsia="黑体" w:cs="黑体"/>
          <w:color w:val="000000"/>
          <w:sz w:val="32"/>
          <w:szCs w:val="32"/>
        </w:rPr>
      </w:pPr>
      <w:bookmarkStart w:id="33" w:name="_Toc391484743_WPSOffice_Level1"/>
      <w:bookmarkStart w:id="34" w:name="_Toc340961487_WPSOffice_Level1"/>
      <w:bookmarkStart w:id="35" w:name="_Toc1244274959_WPSOffice_Level1"/>
      <w:bookmarkStart w:id="36" w:name="_Toc669635750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五、有关事项说明</w:t>
      </w:r>
      <w:bookmarkEnd w:id="33"/>
      <w:bookmarkEnd w:id="34"/>
      <w:bookmarkEnd w:id="35"/>
      <w:bookmarkEnd w:id="36"/>
    </w:p>
    <w:p w14:paraId="5CE38595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firstLine="707" w:firstLineChars="221"/>
        <w:textAlignment w:val="auto"/>
        <w:rPr>
          <w:rFonts w:hint="eastAsia"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本</w:t>
      </w:r>
      <w:r>
        <w:rPr>
          <w:rFonts w:hint="eastAsia"/>
          <w:sz w:val="32"/>
          <w:szCs w:val="32"/>
        </w:rPr>
        <w:t>评审结果是该项目财政预算控制上限，作为预算执行的重要依据，</w:t>
      </w:r>
      <w:r>
        <w:rPr>
          <w:rFonts w:hint="eastAsia" w:ascii="仿宋_GB2312" w:hAnsi="仿宋_GB2312" w:cs="仿宋_GB2312"/>
          <w:sz w:val="32"/>
          <w:szCs w:val="32"/>
        </w:rPr>
        <w:t>不作为招投标、政府采购、结算和决算的依据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。请</w:t>
      </w:r>
      <w:r>
        <w:rPr>
          <w:rFonts w:hint="eastAsia"/>
          <w:sz w:val="32"/>
          <w:szCs w:val="32"/>
        </w:rPr>
        <w:t>根据预算执行评审结果调整预算安排并指导相关部门严控预算执行，督促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项目单位严格遵守各项法律法规、财经纪律和财务管理制度。资金管理科室对预算评审类型和报告使用负责。</w:t>
      </w:r>
    </w:p>
    <w:p w14:paraId="72C10342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firstLine="707" w:firstLineChars="221"/>
        <w:textAlignment w:val="auto"/>
        <w:rPr>
          <w:rFonts w:hint="eastAsia"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项目预算控制上限依据项目单位提供的设计图纸、施工方案，参照相关法律法规、行业规范标准及市场询价结果出具。若因送审资料完整性不足、准确性欠缺等情形导致的偏差，相关责任由项目单位自行承担。</w:t>
      </w:r>
    </w:p>
    <w:p w14:paraId="2B66E342">
      <w:pPr>
        <w:keepNext w:val="0"/>
        <w:keepLines w:val="0"/>
        <w:pageBreakBefore w:val="0"/>
        <w:widowControl w:val="0"/>
        <w:kinsoku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25292D53">
      <w:pPr>
        <w:keepNext w:val="0"/>
        <w:keepLines w:val="0"/>
        <w:pageBreakBefore w:val="0"/>
        <w:widowControl w:val="0"/>
        <w:kinsoku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37BC9488">
      <w:pPr>
        <w:keepNext w:val="0"/>
        <w:keepLines w:val="0"/>
        <w:pageBreakBefore w:val="0"/>
        <w:widowControl w:val="0"/>
        <w:kinsoku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589AF4E7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常德市财政局投资评审中心</w:t>
      </w:r>
    </w:p>
    <w:p w14:paraId="4BB23768">
      <w:pPr>
        <w:pStyle w:val="15"/>
        <w:keepNext w:val="0"/>
        <w:keepLines w:val="0"/>
        <w:pageBreakBefore w:val="0"/>
        <w:widowControl w:val="0"/>
        <w:kinsoku/>
        <w:wordWrap w:val="0"/>
        <w:topLinePunct w:val="0"/>
        <w:autoSpaceDE/>
        <w:autoSpaceDN/>
        <w:bidi w:val="0"/>
        <w:adjustRightInd/>
        <w:snapToGrid/>
        <w:spacing w:line="560" w:lineRule="exact"/>
        <w:ind w:left="4395" w:right="332" w:firstLine="141"/>
        <w:jc w:val="center"/>
        <w:textAlignment w:val="auto"/>
        <w:rPr>
          <w:rFonts w:ascii="Times New Roman" w:hAnsi="Times New Roma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2026年3月4日</w:t>
      </w:r>
    </w:p>
    <w:p w14:paraId="70350F92">
      <w:pPr>
        <w:jc w:val="left"/>
        <w:rPr>
          <w:rFonts w:ascii="仿宋_GB2312" w:eastAsia="仿宋_GB2312"/>
          <w:sz w:val="32"/>
          <w:szCs w:val="32"/>
        </w:rPr>
      </w:pPr>
    </w:p>
    <w:p w14:paraId="1B36FC73">
      <w:pPr>
        <w:jc w:val="left"/>
        <w:rPr>
          <w:rFonts w:ascii="仿宋_GB2312" w:eastAsia="仿宋_GB2312"/>
          <w:sz w:val="32"/>
          <w:szCs w:val="32"/>
        </w:rPr>
      </w:pPr>
    </w:p>
    <w:p w14:paraId="31CCCC18">
      <w:pPr>
        <w:jc w:val="left"/>
        <w:rPr>
          <w:rFonts w:ascii="仿宋_GB2312" w:eastAsia="仿宋_GB2312"/>
          <w:sz w:val="32"/>
          <w:szCs w:val="32"/>
        </w:rPr>
      </w:pPr>
    </w:p>
    <w:p w14:paraId="6F161776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14:paraId="20F9B298"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附表</w:t>
      </w:r>
    </w:p>
    <w:tbl>
      <w:tblPr>
        <w:tblStyle w:val="20"/>
        <w:tblW w:w="9143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419"/>
        <w:gridCol w:w="1464"/>
        <w:gridCol w:w="1392"/>
        <w:gridCol w:w="1524"/>
        <w:gridCol w:w="1620"/>
      </w:tblGrid>
      <w:tr w14:paraId="50BE73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80" w:hRule="atLeast"/>
        </w:trPr>
        <w:tc>
          <w:tcPr>
            <w:tcW w:w="914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80A81E">
            <w:pPr>
              <w:pStyle w:val="11"/>
              <w:spacing w:line="600" w:lineRule="exact"/>
              <w:jc w:val="center"/>
              <w:outlineLvl w:val="0"/>
              <w:rPr>
                <w:rFonts w:ascii="宋体" w:hAnsi="宋体" w:cs="宋体"/>
                <w:kern w:val="0"/>
                <w:sz w:val="44"/>
                <w:szCs w:val="4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44"/>
                <w:lang w:eastAsia="zh-CN"/>
              </w:rPr>
              <w:t>竹根潭闸建设工程预算执行评审汇总表</w:t>
            </w:r>
          </w:p>
        </w:tc>
      </w:tr>
      <w:tr w14:paraId="0CDC4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</w:trPr>
        <w:tc>
          <w:tcPr>
            <w:tcW w:w="914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6D582B"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金额单位：元</w:t>
            </w:r>
          </w:p>
        </w:tc>
      </w:tr>
      <w:tr w14:paraId="1CF191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589D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57AE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9F27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送审金额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7E90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审定金额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32F3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审减金额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75F5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备  注</w:t>
            </w:r>
          </w:p>
        </w:tc>
      </w:tr>
      <w:tr w14:paraId="72BA7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02B2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一</w:t>
            </w:r>
          </w:p>
        </w:tc>
        <w:tc>
          <w:tcPr>
            <w:tcW w:w="2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59FB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工程费</w:t>
            </w: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CE9D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2556847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416C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2376428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AAE2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180419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8E51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14CB0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2731A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二</w:t>
            </w:r>
          </w:p>
        </w:tc>
        <w:tc>
          <w:tcPr>
            <w:tcW w:w="2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6A0A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不可预见费</w:t>
            </w: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E42B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123194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35AA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118821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9742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4373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A2B4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工程费的5%</w:t>
            </w:r>
          </w:p>
        </w:tc>
      </w:tr>
      <w:tr w14:paraId="6829D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DD0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三</w:t>
            </w:r>
          </w:p>
        </w:tc>
        <w:tc>
          <w:tcPr>
            <w:tcW w:w="2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26A5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前期费</w:t>
            </w: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5A86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277367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A3E6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278448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7C350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-1081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CB71F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含防洪影响评价报告编制费</w:t>
            </w:r>
          </w:p>
        </w:tc>
      </w:tr>
      <w:tr w14:paraId="67F89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5F8AB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1A0A5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合  计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CC2B1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2957408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5D7BE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2773697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26CE4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183711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82AA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1"/>
                <w:szCs w:val="21"/>
              </w:rPr>
              <w:t>审减率6.21%</w:t>
            </w:r>
          </w:p>
        </w:tc>
      </w:tr>
    </w:tbl>
    <w:p w14:paraId="46B5160B">
      <w:bookmarkStart w:id="37" w:name="_GoBack"/>
      <w:bookmarkEnd w:id="37"/>
    </w:p>
    <w:sectPr>
      <w:footerReference r:id="rId3" w:type="default"/>
      <w:pgSz w:w="11906" w:h="16838"/>
      <w:pgMar w:top="2154" w:right="1531" w:bottom="1440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EC6A3">
    <w:pPr>
      <w:pStyle w:val="1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1C8EB1">
                          <w:pPr>
                            <w:pStyle w:val="16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1C8EB1">
                    <w:pPr>
                      <w:pStyle w:val="16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C95"/>
    <w:rsid w:val="00000756"/>
    <w:rsid w:val="0003101B"/>
    <w:rsid w:val="000637B0"/>
    <w:rsid w:val="00085B23"/>
    <w:rsid w:val="000C44C1"/>
    <w:rsid w:val="000D69AB"/>
    <w:rsid w:val="000E5D69"/>
    <w:rsid w:val="000F6FBC"/>
    <w:rsid w:val="00115BA0"/>
    <w:rsid w:val="001215E9"/>
    <w:rsid w:val="00124BA6"/>
    <w:rsid w:val="00131FEF"/>
    <w:rsid w:val="00137F1A"/>
    <w:rsid w:val="00140884"/>
    <w:rsid w:val="001479F8"/>
    <w:rsid w:val="001B03EA"/>
    <w:rsid w:val="001C2BFD"/>
    <w:rsid w:val="001D3584"/>
    <w:rsid w:val="001E34BB"/>
    <w:rsid w:val="002110B2"/>
    <w:rsid w:val="00211FEE"/>
    <w:rsid w:val="002214CC"/>
    <w:rsid w:val="0022332C"/>
    <w:rsid w:val="00224739"/>
    <w:rsid w:val="002550DA"/>
    <w:rsid w:val="0026065F"/>
    <w:rsid w:val="00293F9D"/>
    <w:rsid w:val="00297A0F"/>
    <w:rsid w:val="002A76CD"/>
    <w:rsid w:val="002C1CE6"/>
    <w:rsid w:val="002F1ED0"/>
    <w:rsid w:val="002F50DA"/>
    <w:rsid w:val="00304975"/>
    <w:rsid w:val="00304E74"/>
    <w:rsid w:val="0030666D"/>
    <w:rsid w:val="00307533"/>
    <w:rsid w:val="00311B99"/>
    <w:rsid w:val="00330DEC"/>
    <w:rsid w:val="0033703D"/>
    <w:rsid w:val="00342FA5"/>
    <w:rsid w:val="0034384F"/>
    <w:rsid w:val="003459A7"/>
    <w:rsid w:val="00351C65"/>
    <w:rsid w:val="00355006"/>
    <w:rsid w:val="0036136B"/>
    <w:rsid w:val="00364FBD"/>
    <w:rsid w:val="003723A6"/>
    <w:rsid w:val="00390C2C"/>
    <w:rsid w:val="00395EEE"/>
    <w:rsid w:val="003C1927"/>
    <w:rsid w:val="003D0A6A"/>
    <w:rsid w:val="003D0D65"/>
    <w:rsid w:val="003E6F0B"/>
    <w:rsid w:val="0041748C"/>
    <w:rsid w:val="00420E68"/>
    <w:rsid w:val="0043012E"/>
    <w:rsid w:val="00484DFC"/>
    <w:rsid w:val="00485B85"/>
    <w:rsid w:val="00487871"/>
    <w:rsid w:val="004A2297"/>
    <w:rsid w:val="004A70E5"/>
    <w:rsid w:val="004D08C3"/>
    <w:rsid w:val="004D30DC"/>
    <w:rsid w:val="004F2C97"/>
    <w:rsid w:val="00520938"/>
    <w:rsid w:val="00526D22"/>
    <w:rsid w:val="00530125"/>
    <w:rsid w:val="005428E3"/>
    <w:rsid w:val="00577167"/>
    <w:rsid w:val="00581145"/>
    <w:rsid w:val="00583A26"/>
    <w:rsid w:val="00597761"/>
    <w:rsid w:val="005C1516"/>
    <w:rsid w:val="005C1D44"/>
    <w:rsid w:val="005C25C6"/>
    <w:rsid w:val="005C607E"/>
    <w:rsid w:val="005E03B0"/>
    <w:rsid w:val="006044F9"/>
    <w:rsid w:val="00617840"/>
    <w:rsid w:val="00626A58"/>
    <w:rsid w:val="00631EDD"/>
    <w:rsid w:val="006365E1"/>
    <w:rsid w:val="00643849"/>
    <w:rsid w:val="0065511E"/>
    <w:rsid w:val="006725B2"/>
    <w:rsid w:val="00682E0F"/>
    <w:rsid w:val="00684E64"/>
    <w:rsid w:val="006908F6"/>
    <w:rsid w:val="006936E2"/>
    <w:rsid w:val="006A27EB"/>
    <w:rsid w:val="006E1677"/>
    <w:rsid w:val="006F4ED8"/>
    <w:rsid w:val="007278C1"/>
    <w:rsid w:val="007674DA"/>
    <w:rsid w:val="00783187"/>
    <w:rsid w:val="00792B95"/>
    <w:rsid w:val="007977F1"/>
    <w:rsid w:val="007B3544"/>
    <w:rsid w:val="007D5A6D"/>
    <w:rsid w:val="007F0AB7"/>
    <w:rsid w:val="00815688"/>
    <w:rsid w:val="008207CC"/>
    <w:rsid w:val="00835DC2"/>
    <w:rsid w:val="008509FA"/>
    <w:rsid w:val="00856407"/>
    <w:rsid w:val="0087358E"/>
    <w:rsid w:val="00885C95"/>
    <w:rsid w:val="008949B8"/>
    <w:rsid w:val="008B37BF"/>
    <w:rsid w:val="008C6E6E"/>
    <w:rsid w:val="008D0DDD"/>
    <w:rsid w:val="008D1F10"/>
    <w:rsid w:val="00900877"/>
    <w:rsid w:val="00934E3C"/>
    <w:rsid w:val="00942B33"/>
    <w:rsid w:val="00960F82"/>
    <w:rsid w:val="00961826"/>
    <w:rsid w:val="00966580"/>
    <w:rsid w:val="009729BD"/>
    <w:rsid w:val="00973A33"/>
    <w:rsid w:val="00983433"/>
    <w:rsid w:val="00987E15"/>
    <w:rsid w:val="009A5363"/>
    <w:rsid w:val="009C522A"/>
    <w:rsid w:val="009D0076"/>
    <w:rsid w:val="009D294F"/>
    <w:rsid w:val="009D35E3"/>
    <w:rsid w:val="009E1678"/>
    <w:rsid w:val="009E3873"/>
    <w:rsid w:val="009E3E4E"/>
    <w:rsid w:val="00A062DD"/>
    <w:rsid w:val="00A20CF8"/>
    <w:rsid w:val="00A35B5E"/>
    <w:rsid w:val="00A37B2D"/>
    <w:rsid w:val="00A605B7"/>
    <w:rsid w:val="00A6276A"/>
    <w:rsid w:val="00A719BE"/>
    <w:rsid w:val="00A83634"/>
    <w:rsid w:val="00A93643"/>
    <w:rsid w:val="00AC0860"/>
    <w:rsid w:val="00AC3FA6"/>
    <w:rsid w:val="00AE318F"/>
    <w:rsid w:val="00B06C10"/>
    <w:rsid w:val="00B10D36"/>
    <w:rsid w:val="00B131C8"/>
    <w:rsid w:val="00B13E31"/>
    <w:rsid w:val="00B15CD2"/>
    <w:rsid w:val="00B1676F"/>
    <w:rsid w:val="00B20419"/>
    <w:rsid w:val="00B24534"/>
    <w:rsid w:val="00B57111"/>
    <w:rsid w:val="00B74CD8"/>
    <w:rsid w:val="00B87DE3"/>
    <w:rsid w:val="00B97A21"/>
    <w:rsid w:val="00BD0455"/>
    <w:rsid w:val="00BD0A19"/>
    <w:rsid w:val="00BD2724"/>
    <w:rsid w:val="00BE106C"/>
    <w:rsid w:val="00BE10EA"/>
    <w:rsid w:val="00BF1B1B"/>
    <w:rsid w:val="00C160E8"/>
    <w:rsid w:val="00C2450B"/>
    <w:rsid w:val="00C3151B"/>
    <w:rsid w:val="00C348DE"/>
    <w:rsid w:val="00C363A1"/>
    <w:rsid w:val="00C3775A"/>
    <w:rsid w:val="00C46AC7"/>
    <w:rsid w:val="00C46B2D"/>
    <w:rsid w:val="00C508F7"/>
    <w:rsid w:val="00C5115C"/>
    <w:rsid w:val="00C60121"/>
    <w:rsid w:val="00C810E0"/>
    <w:rsid w:val="00C879BE"/>
    <w:rsid w:val="00C95359"/>
    <w:rsid w:val="00CB2A73"/>
    <w:rsid w:val="00CB61F2"/>
    <w:rsid w:val="00CC1F81"/>
    <w:rsid w:val="00CD3938"/>
    <w:rsid w:val="00D2023B"/>
    <w:rsid w:val="00D40239"/>
    <w:rsid w:val="00D45129"/>
    <w:rsid w:val="00D505AA"/>
    <w:rsid w:val="00D55755"/>
    <w:rsid w:val="00D626E6"/>
    <w:rsid w:val="00D62C9B"/>
    <w:rsid w:val="00D661AC"/>
    <w:rsid w:val="00D83731"/>
    <w:rsid w:val="00D864C3"/>
    <w:rsid w:val="00DA4780"/>
    <w:rsid w:val="00DA4EA9"/>
    <w:rsid w:val="00DB1BF1"/>
    <w:rsid w:val="00DC4F9D"/>
    <w:rsid w:val="00DC5B31"/>
    <w:rsid w:val="00DD1AAC"/>
    <w:rsid w:val="00DD2057"/>
    <w:rsid w:val="00DD3415"/>
    <w:rsid w:val="00DD50BB"/>
    <w:rsid w:val="00DE26A2"/>
    <w:rsid w:val="00DE41FE"/>
    <w:rsid w:val="00E14D9A"/>
    <w:rsid w:val="00E254A1"/>
    <w:rsid w:val="00E25CB4"/>
    <w:rsid w:val="00E277DB"/>
    <w:rsid w:val="00E33FB4"/>
    <w:rsid w:val="00E55C78"/>
    <w:rsid w:val="00E823FE"/>
    <w:rsid w:val="00E91288"/>
    <w:rsid w:val="00EA1D21"/>
    <w:rsid w:val="00ED1673"/>
    <w:rsid w:val="00EE7108"/>
    <w:rsid w:val="00EE7D44"/>
    <w:rsid w:val="00EF17C5"/>
    <w:rsid w:val="00F13746"/>
    <w:rsid w:val="00F34FCB"/>
    <w:rsid w:val="00F41E3F"/>
    <w:rsid w:val="00F4300B"/>
    <w:rsid w:val="00F67CB7"/>
    <w:rsid w:val="00F729C1"/>
    <w:rsid w:val="00F77A9B"/>
    <w:rsid w:val="00F85FF3"/>
    <w:rsid w:val="00FB53DA"/>
    <w:rsid w:val="00FB7426"/>
    <w:rsid w:val="00FC26B2"/>
    <w:rsid w:val="00FD5986"/>
    <w:rsid w:val="00FE04D2"/>
    <w:rsid w:val="00FE121F"/>
    <w:rsid w:val="00FE4C73"/>
    <w:rsid w:val="00FE6987"/>
    <w:rsid w:val="00FF2201"/>
    <w:rsid w:val="00FF49B4"/>
    <w:rsid w:val="60D3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4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next w:val="12"/>
    <w:link w:val="42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12">
    <w:name w:val="toc 9"/>
    <w:basedOn w:val="1"/>
    <w:next w:val="1"/>
    <w:autoRedefine/>
    <w:semiHidden/>
    <w:unhideWhenUsed/>
    <w:uiPriority w:val="39"/>
    <w:pPr>
      <w:ind w:left="3360" w:leftChars="1600"/>
    </w:pPr>
  </w:style>
  <w:style w:type="paragraph" w:styleId="13">
    <w:name w:val="Body Text Indent"/>
    <w:basedOn w:val="1"/>
    <w:next w:val="14"/>
    <w:link w:val="43"/>
    <w:qFormat/>
    <w:uiPriority w:val="0"/>
    <w:pPr>
      <w:ind w:firstLine="600" w:firstLineChars="200"/>
    </w:pPr>
    <w:rPr>
      <w:rFonts w:eastAsia="仿宋_GB2312"/>
      <w:sz w:val="30"/>
    </w:rPr>
  </w:style>
  <w:style w:type="paragraph" w:styleId="14">
    <w:name w:val="envelope return"/>
    <w:basedOn w:val="1"/>
    <w:semiHidden/>
    <w:unhideWhenUsed/>
    <w:qFormat/>
    <w:uiPriority w:val="99"/>
    <w:pPr>
      <w:snapToGrid w:val="0"/>
    </w:pPr>
    <w:rPr>
      <w:rFonts w:asciiTheme="majorHAnsi" w:hAnsiTheme="majorHAnsi" w:eastAsiaTheme="majorEastAsia" w:cstheme="majorBidi"/>
    </w:rPr>
  </w:style>
  <w:style w:type="paragraph" w:styleId="15">
    <w:name w:val="Body Text Indent 2"/>
    <w:basedOn w:val="1"/>
    <w:link w:val="41"/>
    <w:qFormat/>
    <w:uiPriority w:val="0"/>
    <w:pPr>
      <w:spacing w:line="588" w:lineRule="atLeast"/>
    </w:pPr>
    <w:rPr>
      <w:rFonts w:eastAsia="方正仿宋_GBK"/>
      <w:spacing w:val="6"/>
      <w:sz w:val="30"/>
      <w:szCs w:val="22"/>
    </w:rPr>
  </w:style>
  <w:style w:type="paragraph" w:styleId="16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Subtitle"/>
    <w:basedOn w:val="1"/>
    <w:next w:val="1"/>
    <w:link w:val="33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9">
    <w:name w:val="Title"/>
    <w:basedOn w:val="1"/>
    <w:next w:val="1"/>
    <w:link w:val="32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22">
    <w:name w:val="page number"/>
    <w:basedOn w:val="21"/>
    <w:qFormat/>
    <w:uiPriority w:val="0"/>
  </w:style>
  <w:style w:type="character" w:customStyle="1" w:styleId="23">
    <w:name w:val="标题 1 字符"/>
    <w:basedOn w:val="2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4">
    <w:name w:val="标题 2 字符"/>
    <w:basedOn w:val="2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5">
    <w:name w:val="标题 3 字符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6">
    <w:name w:val="标题 4 字符"/>
    <w:basedOn w:val="21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7">
    <w:name w:val="标题 5 字符"/>
    <w:basedOn w:val="21"/>
    <w:link w:val="6"/>
    <w:semiHidden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8">
    <w:name w:val="标题 6 字符"/>
    <w:basedOn w:val="21"/>
    <w:link w:val="7"/>
    <w:semiHidden/>
    <w:uiPriority w:val="9"/>
    <w:rPr>
      <w:rFonts w:cstheme="majorBidi"/>
      <w:b/>
      <w:bCs/>
      <w:color w:val="2F5597" w:themeColor="accent1" w:themeShade="BF"/>
      <w:sz w:val="24"/>
      <w:szCs w:val="24"/>
    </w:rPr>
  </w:style>
  <w:style w:type="character" w:customStyle="1" w:styleId="29">
    <w:name w:val="标题 7 字符"/>
    <w:basedOn w:val="21"/>
    <w:link w:val="8"/>
    <w:semiHidden/>
    <w:uiPriority w:val="9"/>
    <w:rPr>
      <w:rFonts w:cstheme="majorBidi"/>
      <w:b/>
      <w:b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8 字符"/>
    <w:basedOn w:val="21"/>
    <w:link w:val="9"/>
    <w:semiHidden/>
    <w:qFormat/>
    <w:uiPriority w:val="9"/>
    <w:rPr>
      <w:rFonts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9 字符"/>
    <w:basedOn w:val="21"/>
    <w:link w:val="10"/>
    <w:semiHidden/>
    <w:uiPriority w:val="9"/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2">
    <w:name w:val="标题 字符"/>
    <w:basedOn w:val="21"/>
    <w:link w:val="1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3">
    <w:name w:val="副标题 字符"/>
    <w:basedOn w:val="21"/>
    <w:link w:val="18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4">
    <w:name w:val="Quote"/>
    <w:basedOn w:val="1"/>
    <w:next w:val="1"/>
    <w:link w:val="35"/>
    <w:qFormat/>
    <w:uiPriority w:val="29"/>
    <w:pPr>
      <w:spacing w:before="160" w:after="160"/>
      <w:jc w:val="center"/>
    </w:pPr>
    <w:rPr>
      <w:rFonts w:ascii="Times New Roman" w:hAnsi="Times New Roman" w:eastAsia="仿宋_GB2312"/>
      <w:i/>
      <w:iCs/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5">
    <w:name w:val="引用 字符"/>
    <w:basedOn w:val="21"/>
    <w:link w:val="34"/>
    <w:uiPriority w:val="29"/>
    <w:rPr>
      <w:rFonts w:ascii="Times New Roman" w:hAnsi="Times New Roman" w:eastAsia="仿宋_GB2312" w:cs="Times New Roman"/>
      <w:i/>
      <w:iCs/>
      <w:color w:val="404040" w:themeColor="text1" w:themeTint="BF"/>
      <w:sz w:val="24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6">
    <w:name w:val="List Paragraph"/>
    <w:basedOn w:val="1"/>
    <w:qFormat/>
    <w:uiPriority w:val="34"/>
    <w:pPr>
      <w:ind w:left="720"/>
      <w:contextualSpacing/>
    </w:pPr>
    <w:rPr>
      <w:rFonts w:ascii="Times New Roman" w:hAnsi="Times New Roman" w:eastAsia="仿宋_GB2312"/>
      <w:sz w:val="24"/>
    </w:rPr>
  </w:style>
  <w:style w:type="character" w:customStyle="1" w:styleId="37">
    <w:name w:val="Intense Emphasis"/>
    <w:basedOn w:val="21"/>
    <w:qFormat/>
    <w:uiPriority w:val="21"/>
    <w:rPr>
      <w:i/>
      <w:iCs/>
      <w:color w:val="2F5597" w:themeColor="accent1" w:themeShade="BF"/>
    </w:rPr>
  </w:style>
  <w:style w:type="paragraph" w:styleId="38">
    <w:name w:val="Intense Quote"/>
    <w:basedOn w:val="1"/>
    <w:next w:val="1"/>
    <w:link w:val="39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="Times New Roman" w:hAnsi="Times New Roman" w:eastAsia="仿宋_GB2312"/>
      <w:i/>
      <w:iCs/>
      <w:color w:val="2F5597" w:themeColor="accent1" w:themeShade="BF"/>
      <w:sz w:val="24"/>
    </w:rPr>
  </w:style>
  <w:style w:type="character" w:customStyle="1" w:styleId="39">
    <w:name w:val="明显引用 字符"/>
    <w:basedOn w:val="21"/>
    <w:link w:val="38"/>
    <w:uiPriority w:val="30"/>
    <w:rPr>
      <w:rFonts w:ascii="Times New Roman" w:hAnsi="Times New Roman" w:eastAsia="仿宋_GB2312" w:cs="Times New Roman"/>
      <w:i/>
      <w:iCs/>
      <w:color w:val="2F5597" w:themeColor="accent1" w:themeShade="BF"/>
      <w:sz w:val="24"/>
      <w:szCs w:val="24"/>
    </w:rPr>
  </w:style>
  <w:style w:type="character" w:customStyle="1" w:styleId="40">
    <w:name w:val="Intense Reference"/>
    <w:basedOn w:val="2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1">
    <w:name w:val="正文文本缩进 2 字符"/>
    <w:basedOn w:val="21"/>
    <w:link w:val="15"/>
    <w:uiPriority w:val="0"/>
    <w:rPr>
      <w:rFonts w:ascii="Calibri" w:hAnsi="Calibri" w:eastAsia="方正仿宋_GBK" w:cs="Times New Roman"/>
      <w:spacing w:val="6"/>
      <w:sz w:val="30"/>
    </w:rPr>
  </w:style>
  <w:style w:type="character" w:customStyle="1" w:styleId="42">
    <w:name w:val="正文文本 字符"/>
    <w:basedOn w:val="21"/>
    <w:link w:val="11"/>
    <w:semiHidden/>
    <w:uiPriority w:val="0"/>
    <w:rPr>
      <w:rFonts w:ascii="Arial" w:hAnsi="Arial" w:eastAsia="Arial" w:cs="Arial"/>
      <w:szCs w:val="21"/>
      <w:lang w:eastAsia="en-US"/>
    </w:rPr>
  </w:style>
  <w:style w:type="character" w:customStyle="1" w:styleId="43">
    <w:name w:val="正文文本缩进 字符"/>
    <w:basedOn w:val="21"/>
    <w:link w:val="13"/>
    <w:qFormat/>
    <w:uiPriority w:val="0"/>
    <w:rPr>
      <w:rFonts w:ascii="Calibri" w:hAnsi="Calibri" w:eastAsia="仿宋_GB2312" w:cs="Times New Roman"/>
      <w:sz w:val="30"/>
      <w:szCs w:val="24"/>
    </w:rPr>
  </w:style>
  <w:style w:type="character" w:customStyle="1" w:styleId="44">
    <w:name w:val="页眉 字符"/>
    <w:basedOn w:val="21"/>
    <w:link w:val="17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5">
    <w:name w:val="页脚 字符"/>
    <w:basedOn w:val="21"/>
    <w:link w:val="16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1304</Words>
  <Characters>1453</Characters>
  <Lines>10</Lines>
  <Paragraphs>3</Paragraphs>
  <TotalTime>4</TotalTime>
  <ScaleCrop>false</ScaleCrop>
  <LinksUpToDate>false</LinksUpToDate>
  <CharactersWithSpaces>1459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2025-11-11T09:05:00Z</dcterms:created>
  <dc:creator>v</dc:creator>
  <cp:lastModifiedBy>～小太阳。</cp:lastModifiedBy>
  <dcterms:modified xsi:type="dcterms:W3CDTF">2026-03-05T00:35:40Z</dcterms:modified>
  <cp:revision>212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eyJoZGlkIjoiZWMwNTc0MGJjNGVlNGU2MWIxYzUzZGM2Y2Q4MTIzY2EiLCJ1c2VySWQiOiIxMDc2NTE4NzkzIn0=</vt:lpwstr>
  </property>
  <property fmtid="{D5CDD505-2E9C-101B-9397-08002B2CF9AE}" pid="3" name="KSOProductBuildVer">
    <vt:lpwstr>2052-12.1.0.24657</vt:lpwstr>
  </property>
  <property fmtid="{D5CDD505-2E9C-101B-9397-08002B2CF9AE}" pid="4" name="ICV">
    <vt:lpwstr>8A4E682B52144DF2ADE16D2D1A91E3EE_12</vt:lpwstr>
  </property>
</Properties>
</file>