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10CD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  <w:bookmarkStart w:id="0" w:name="_Toc178124550_WPSOffice_Level1"/>
      <w:bookmarkStart w:id="1" w:name="_Toc1670908148_WPSOffice_Level1"/>
      <w:bookmarkStart w:id="2" w:name="_Toc678217306_WPSOffice_Level1"/>
      <w:bookmarkStart w:id="3" w:name="_Toc2123423747_WPSOffice_Level1"/>
    </w:p>
    <w:p w14:paraId="7A1F3F6A"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596502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56C888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523A1C1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48625B2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27A0944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0"/>
      </w:pPr>
    </w:p>
    <w:p w14:paraId="4EC6D649">
      <w:pPr>
        <w:spacing w:line="600" w:lineRule="exact"/>
        <w:jc w:val="center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常财审</w:t>
      </w:r>
      <w:r>
        <w:rPr>
          <w:rFonts w:hint="eastAsia" w:ascii="仿宋_GB2312" w:hAnsi="仿宋_GB2312" w:eastAsia="仿宋_GB2312"/>
          <w:sz w:val="32"/>
        </w:rPr>
        <w:t>〔202</w:t>
      </w:r>
      <w:r>
        <w:rPr>
          <w:rFonts w:hint="eastAsia" w:ascii="仿宋_GB2312" w:hAnsi="仿宋_GB2312" w:eastAsia="仿宋_GB2312"/>
          <w:sz w:val="32"/>
          <w:lang w:val="en-US" w:eastAsia="zh-CN"/>
        </w:rPr>
        <w:t>6</w:t>
      </w:r>
      <w:r>
        <w:rPr>
          <w:rFonts w:hint="eastAsia" w:ascii="仿宋_GB2312" w:hAnsi="仿宋_GB2312" w:eastAsia="仿宋_GB2312"/>
          <w:sz w:val="32"/>
        </w:rPr>
        <w:t>〕预</w:t>
      </w:r>
      <w:r>
        <w:rPr>
          <w:rFonts w:hint="eastAsia" w:ascii="仿宋_GB2312" w:eastAsia="仿宋_GB2312"/>
          <w:sz w:val="32"/>
        </w:rPr>
        <w:t>字</w:t>
      </w:r>
      <w:r>
        <w:rPr>
          <w:rFonts w:hint="eastAsia" w:ascii="仿宋_GB2312" w:eastAsia="仿宋_GB2312"/>
          <w:sz w:val="32"/>
          <w:lang w:val="en-US" w:eastAsia="zh-CN"/>
        </w:rPr>
        <w:t>1</w:t>
      </w:r>
      <w:r>
        <w:rPr>
          <w:rFonts w:hint="eastAsia" w:ascii="仿宋_GB2312" w:eastAsia="仿宋_GB2312"/>
          <w:sz w:val="32"/>
        </w:rPr>
        <w:t>号</w:t>
      </w:r>
    </w:p>
    <w:p w14:paraId="27ED1EE4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ascii="Times New Roman" w:hAnsi="Times New Roman" w:eastAsia="方正小标宋_GBK" w:cs="Times New Roman"/>
          <w:color w:val="000000"/>
          <w:sz w:val="44"/>
          <w:lang w:eastAsia="zh-CN"/>
        </w:rPr>
      </w:pPr>
    </w:p>
    <w:p w14:paraId="373C571D">
      <w:pPr>
        <w:pStyle w:val="12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关于常德市2026年春节临时亮化工程预算</w:t>
      </w:r>
    </w:p>
    <w:p w14:paraId="352A6C43">
      <w:pPr>
        <w:pStyle w:val="12"/>
        <w:spacing w:line="600" w:lineRule="exact"/>
        <w:jc w:val="center"/>
        <w:outlineLvl w:val="0"/>
        <w:rPr>
          <w:rFonts w:hint="eastAsia" w:ascii="宋体" w:hAnsi="宋体" w:eastAsia="宋体" w:cs="宋体"/>
          <w:color w:val="000000"/>
          <w:sz w:val="44"/>
          <w:lang w:eastAsia="zh-CN"/>
        </w:rPr>
      </w:pPr>
      <w:r>
        <w:rPr>
          <w:rFonts w:hint="eastAsia" w:ascii="宋体" w:hAnsi="宋体" w:eastAsia="宋体" w:cs="宋体"/>
          <w:color w:val="000000"/>
          <w:sz w:val="44"/>
          <w:lang w:eastAsia="zh-CN"/>
        </w:rPr>
        <w:t>执行的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color w:val="000000"/>
          <w:sz w:val="44"/>
          <w:lang w:eastAsia="zh-CN"/>
        </w:rPr>
        <w:t>评审报告</w:t>
      </w:r>
    </w:p>
    <w:p w14:paraId="37880DB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</w:p>
    <w:p w14:paraId="79843632">
      <w:pPr>
        <w:overflowPunct w:val="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常德市财政局经济建设科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p w14:paraId="602005E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《常德市2026年春节临时亮化工程》相关资料收悉，按照客观、公正、科学的评审原则，我中心组织对该项目开展预算执行评审，具体情况如下：</w:t>
      </w:r>
    </w:p>
    <w:p w14:paraId="478EBAB1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4" w:name="_Toc891472834_WPSOffice_Level1"/>
      <w:bookmarkStart w:id="5" w:name="_Toc1862220243_WPSOffice_Level1"/>
      <w:bookmarkStart w:id="6" w:name="_Toc215626143_WPSOffice_Level1"/>
      <w:bookmarkStart w:id="7" w:name="_Toc445877422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一、项目概况</w:t>
      </w:r>
      <w:bookmarkEnd w:id="4"/>
      <w:bookmarkEnd w:id="5"/>
      <w:bookmarkEnd w:id="6"/>
      <w:bookmarkEnd w:id="7"/>
    </w:p>
    <w:p w14:paraId="499D015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8" w:name="_Toc222933592_WPSOffice_Level2"/>
      <w:bookmarkStart w:id="9" w:name="_Toc1067922961_WPSOffice_Level2"/>
      <w:bookmarkStart w:id="10" w:name="_Toc90632560_WPSOffice_Level2"/>
      <w:bookmarkStart w:id="11" w:name="_Toc472741964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（一）项目基本情况</w:t>
      </w:r>
      <w:bookmarkEnd w:id="8"/>
      <w:bookmarkEnd w:id="9"/>
      <w:bookmarkEnd w:id="10"/>
      <w:bookmarkEnd w:id="11"/>
    </w:p>
    <w:p w14:paraId="2749A68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  <w:highlight w:val="yellow"/>
        </w:rPr>
      </w:pPr>
      <w:r>
        <w:rPr>
          <w:rFonts w:hint="eastAsia" w:ascii="仿宋_GB2312" w:hAnsi="仿宋" w:eastAsia="仿宋_GB2312"/>
          <w:sz w:val="32"/>
          <w:szCs w:val="32"/>
        </w:rPr>
        <w:t>该项目为常德市江北城区202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年春节亮化，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项目根据市领导签批的《常德市城市管理和综合执法局&lt;关于市江北城区2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026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年春节临时亮化建设的请示&gt;》（市城管〔2025〕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号）立项，除亮化材料利旧外，从2025年城市建设维护管理资金中统筹安排1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万元。</w:t>
      </w:r>
    </w:p>
    <w:p w14:paraId="4F8536F2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3" w:firstLineChars="200"/>
        <w:textAlignment w:val="auto"/>
        <w:outlineLvl w:val="1"/>
        <w:rPr>
          <w:rFonts w:ascii="Times New Roman" w:hAnsi="Times New Roman" w:eastAsia="楷体_GB2312"/>
          <w:b/>
          <w:bCs/>
          <w:sz w:val="32"/>
          <w:szCs w:val="32"/>
        </w:rPr>
      </w:pPr>
      <w:bookmarkStart w:id="12" w:name="_Toc1446308865_WPSOffice_Level2"/>
      <w:bookmarkStart w:id="13" w:name="_Toc1094448419_WPSOffice_Level2"/>
      <w:bookmarkStart w:id="14" w:name="_Toc830963703_WPSOffice_Level2"/>
      <w:bookmarkStart w:id="15" w:name="_Toc1069041809_WPSOffice_Level2"/>
      <w:r>
        <w:rPr>
          <w:rFonts w:ascii="Times New Roman" w:hAnsi="Times New Roman" w:eastAsia="楷体_GB2312"/>
          <w:b/>
          <w:bCs/>
          <w:sz w:val="32"/>
          <w:szCs w:val="32"/>
        </w:rPr>
        <w:t>（二）项目主要内容及申报预算情况</w:t>
      </w:r>
      <w:bookmarkEnd w:id="12"/>
      <w:bookmarkEnd w:id="13"/>
      <w:bookmarkEnd w:id="14"/>
      <w:bookmarkEnd w:id="15"/>
    </w:p>
    <w:p w14:paraId="0E35B84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为营造良好春节氛围，常德市城管局提出围绕“一轴多点”开展2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026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年春节临时亮化，范围为“五大家”、机场出入口、武陵大道全路段、河街（柳河路全段）。在利用往年亮化材料6万元基础上，申报建设资金1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万元；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</w:t>
      </w:r>
    </w:p>
    <w:p w14:paraId="56ED41FE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16" w:name="_Toc581615128_WPSOffice_Level1"/>
      <w:bookmarkStart w:id="17" w:name="_Toc976241670_WPSOffice_Level1"/>
      <w:bookmarkStart w:id="18" w:name="_Toc182692291_WPSOffice_Level1"/>
      <w:bookmarkStart w:id="19" w:name="_Toc1890145904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二、评审依据</w:t>
      </w:r>
      <w:bookmarkEnd w:id="16"/>
      <w:bookmarkEnd w:id="17"/>
      <w:bookmarkEnd w:id="18"/>
      <w:bookmarkEnd w:id="19"/>
    </w:p>
    <w:p w14:paraId="67099E57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《中华人民共和国预算法》《中华人民共和国预算法实施条例》</w:t>
      </w:r>
      <w:r>
        <w:rPr>
          <w:rFonts w:hint="eastAsia" w:ascii="仿宋_GB2312" w:hAnsi="仿宋_GB2312" w:cs="仿宋_GB2312"/>
          <w:bCs/>
          <w:sz w:val="32"/>
          <w:szCs w:val="32"/>
        </w:rPr>
        <w:t>等法律法规。</w:t>
      </w:r>
    </w:p>
    <w:p w14:paraId="016BF95F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湖南省住房和城乡建设厅《关于执行&lt;建设工程工程量清单计价标准&gt;及配套工程量计算标准的通知》（湘建科函〔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</w:t>
      </w:r>
      <w:r>
        <w:rPr>
          <w:rFonts w:hint="eastAsia" w:ascii="仿宋_GB2312" w:hAnsi="仿宋_GB2312" w:cs="仿宋_GB2312"/>
          <w:sz w:val="32"/>
          <w:szCs w:val="32"/>
        </w:rPr>
        <w:t>0号）。</w:t>
      </w:r>
    </w:p>
    <w:p w14:paraId="770C4D1D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湖南省住房和城乡建设厅《关于发布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&lt;湖南省建设工程消耗量标准&gt;的通知》（湘建科函〔</w:t>
      </w:r>
      <w:r>
        <w:rPr>
          <w:rFonts w:ascii="仿宋_GB2312" w:hAnsi="仿宋_GB2312" w:cs="仿宋_GB2312"/>
          <w:sz w:val="32"/>
          <w:szCs w:val="32"/>
        </w:rPr>
        <w:t>2025</w:t>
      </w:r>
      <w:r>
        <w:rPr>
          <w:rFonts w:hint="eastAsia" w:ascii="仿宋_GB2312" w:hAnsi="仿宋_GB2312" w:cs="仿宋_GB2312"/>
          <w:sz w:val="32"/>
          <w:szCs w:val="32"/>
        </w:rPr>
        <w:t>〕</w:t>
      </w:r>
      <w:r>
        <w:rPr>
          <w:rFonts w:ascii="仿宋_GB2312" w:hAnsi="仿宋_GB2312" w:cs="仿宋_GB2312"/>
          <w:sz w:val="32"/>
          <w:szCs w:val="32"/>
        </w:rPr>
        <w:t>151</w:t>
      </w:r>
      <w:r>
        <w:rPr>
          <w:rFonts w:hint="eastAsia" w:ascii="仿宋_GB2312" w:hAnsi="仿宋_GB2312" w:cs="仿宋_GB2312"/>
          <w:sz w:val="32"/>
          <w:szCs w:val="32"/>
        </w:rPr>
        <w:t>号）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。</w:t>
      </w:r>
    </w:p>
    <w:p w14:paraId="2DF745C0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4.</w:t>
      </w:r>
      <w:r>
        <w:rPr>
          <w:rFonts w:hint="eastAsia" w:ascii="仿宋_GB2312" w:hAnsi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color w:val="000000"/>
          <w:sz w:val="32"/>
          <w:szCs w:val="32"/>
        </w:rPr>
        <w:t>常德市城市管理和综合执法局《关于2025年度园林绿化专项资金项目细化的请示》（常城管〔2025〕19号）。</w:t>
      </w:r>
    </w:p>
    <w:p w14:paraId="023BA61A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outlineLvl w:val="1"/>
        <w:rPr>
          <w:rFonts w:ascii="仿宋_GB2312" w:hAnsi="仿宋_GB2312" w:cs="仿宋_GB2312"/>
          <w:sz w:val="32"/>
          <w:szCs w:val="32"/>
        </w:rPr>
      </w:pPr>
      <w:bookmarkStart w:id="20" w:name="_Toc479871566_WPSOffice_Level2"/>
      <w:bookmarkStart w:id="21" w:name="_Toc333544456_WPSOffice_Level2"/>
      <w:bookmarkStart w:id="22" w:name="_Toc680724078_WPSOffice_Level2"/>
      <w:bookmarkStart w:id="23" w:name="_Toc450291478_WPSOffice_Level2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常德市建设工程造价管理站《关于公布常德市二○二五年第十期建设工程材料市场综合价的通知》（</w:t>
      </w:r>
      <w:r>
        <w:rPr>
          <w:rFonts w:hint="eastAsia" w:ascii="仿宋_GB2312"/>
          <w:sz w:val="32"/>
          <w:szCs w:val="32"/>
        </w:rPr>
        <w:t>常建价〔2025〕14号</w:t>
      </w:r>
      <w:r>
        <w:rPr>
          <w:rFonts w:hint="eastAsia" w:ascii="仿宋_GB2312" w:hAnsi="仿宋_GB2312" w:cs="仿宋_GB2312"/>
          <w:sz w:val="32"/>
          <w:szCs w:val="32"/>
        </w:rPr>
        <w:t>）及市场价格。</w:t>
      </w:r>
      <w:bookmarkEnd w:id="20"/>
      <w:bookmarkEnd w:id="21"/>
      <w:bookmarkEnd w:id="22"/>
      <w:bookmarkEnd w:id="23"/>
    </w:p>
    <w:p w14:paraId="455FF4A2"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outlineLvl w:val="2"/>
        <w:rPr>
          <w:rFonts w:ascii="仿宋_GB2312" w:hAnsi="仿宋_GB2312" w:cs="仿宋_GB2312"/>
          <w:sz w:val="32"/>
          <w:szCs w:val="32"/>
        </w:rPr>
      </w:pPr>
      <w:bookmarkStart w:id="24" w:name="_Toc863367060_WPSOffice_Level3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6.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_GB2312" w:cs="仿宋_GB2312"/>
          <w:sz w:val="32"/>
          <w:szCs w:val="32"/>
        </w:rPr>
        <w:t>其他有关资料。</w:t>
      </w:r>
      <w:bookmarkEnd w:id="24"/>
    </w:p>
    <w:p w14:paraId="0D38C5BF">
      <w:pPr>
        <w:pStyle w:val="14"/>
        <w:keepNext w:val="0"/>
        <w:keepLines w:val="0"/>
        <w:pageBreakBefore w:val="0"/>
        <w:widowControl w:val="0"/>
        <w:tabs>
          <w:tab w:val="left" w:pos="6266"/>
        </w:tabs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outlineLvl w:val="0"/>
        <w:rPr>
          <w:rFonts w:ascii="黑体" w:hAnsi="黑体" w:eastAsia="黑体" w:cs="黑体"/>
          <w:color w:val="000000"/>
          <w:sz w:val="32"/>
          <w:szCs w:val="32"/>
        </w:rPr>
      </w:pPr>
      <w:bookmarkStart w:id="25" w:name="_Toc757239869_WPSOffice_Level1"/>
      <w:bookmarkStart w:id="26" w:name="_Toc913869554_WPSOffice_Level1"/>
      <w:bookmarkStart w:id="27" w:name="_Toc1699738589_WPSOffice_Level1"/>
      <w:bookmarkStart w:id="28" w:name="_Toc1890271026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三、评审结论</w:t>
      </w:r>
      <w:bookmarkEnd w:id="25"/>
      <w:bookmarkEnd w:id="26"/>
      <w:bookmarkEnd w:id="27"/>
      <w:bookmarkEnd w:id="28"/>
    </w:p>
    <w:p w14:paraId="5606E12A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该工程预算送审金额为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1093004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元，审定金额为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1058150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元，审减金额为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34854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元。其中：工程费审减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50203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元，前期费审增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15340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元。审减主要原因如下：</w:t>
      </w:r>
    </w:p>
    <w:p w14:paraId="2A0328B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.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仿真桃花树、景观照明控制箱单价偏高，按2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025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年预算单价调整；</w:t>
      </w:r>
    </w:p>
    <w:p w14:paraId="125CBDE7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bookmarkStart w:id="29" w:name="_Toc1954155083_WPSOffice_Level1"/>
      <w:bookmarkStart w:id="30" w:name="_Toc545252939_WPSOffice_Level1"/>
      <w:bookmarkStart w:id="31" w:name="_Toc308870453_WPSOffice_Level1"/>
      <w:bookmarkStart w:id="32" w:name="_Toc1156470918_WPSOffice_Level1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.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河街150W户外多图激光投影灯主材多计，只计取安装费用；</w:t>
      </w:r>
    </w:p>
    <w:p w14:paraId="3C8F6360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.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该项目造价咨询费、采购代理费等前期费漏报，评审据实审增。</w:t>
      </w:r>
    </w:p>
    <w:p w14:paraId="5A88D34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四、评审建议</w:t>
      </w:r>
      <w:bookmarkEnd w:id="29"/>
      <w:bookmarkEnd w:id="30"/>
      <w:bookmarkEnd w:id="31"/>
      <w:bookmarkEnd w:id="32"/>
    </w:p>
    <w:p w14:paraId="25D5D99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20"/>
        </w:tabs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该项目控制总额为经建科批复的100万元加利旧的灯具材料</w:t>
      </w:r>
      <w:r>
        <w:rPr>
          <w:rFonts w:ascii="仿宋_GB2312" w:hAnsi="仿宋" w:eastAsia="仿宋_GB2312"/>
          <w:sz w:val="32"/>
          <w:szCs w:val="32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万元，现预算审定金额为10</w:t>
      </w:r>
      <w:r>
        <w:rPr>
          <w:rFonts w:ascii="仿宋_GB2312" w:hAnsi="仿宋" w:eastAsia="仿宋_GB2312"/>
          <w:sz w:val="32"/>
          <w:szCs w:val="32"/>
        </w:rPr>
        <w:t>5.82</w:t>
      </w:r>
      <w:r>
        <w:rPr>
          <w:rFonts w:hint="eastAsia" w:ascii="仿宋_GB2312" w:hAnsi="仿宋" w:eastAsia="仿宋_GB2312"/>
          <w:sz w:val="32"/>
          <w:szCs w:val="32"/>
        </w:rPr>
        <w:t>万元，项目结算时需扣除利旧的灯具材料费；</w:t>
      </w:r>
    </w:p>
    <w:p w14:paraId="40F287A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620"/>
        </w:tabs>
        <w:kinsoku/>
        <w:wordWrap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仿宋_GB2312" w:hAnsi="仿宋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ascii="仿宋_GB2312" w:hAnsi="仿宋" w:eastAsia="仿宋_GB2312"/>
          <w:sz w:val="32"/>
          <w:szCs w:val="32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年度春节临时亮化后拆卸亮化材料建设单位应妥善保管，便于以后年度利旧。</w:t>
      </w:r>
    </w:p>
    <w:p w14:paraId="666739B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黑体" w:hAnsi="黑体" w:eastAsia="黑体" w:cs="黑体"/>
          <w:color w:val="000000"/>
          <w:sz w:val="32"/>
          <w:szCs w:val="32"/>
        </w:rPr>
      </w:pPr>
      <w:bookmarkStart w:id="33" w:name="_Toc669635750_WPSOffice_Level1"/>
      <w:bookmarkStart w:id="34" w:name="_Toc391484743_WPSOffice_Level1"/>
      <w:bookmarkStart w:id="35" w:name="_Toc340961487_WPSOffice_Level1"/>
      <w:bookmarkStart w:id="36" w:name="_Toc1244274959_WPSOffice_Level1"/>
      <w:r>
        <w:rPr>
          <w:rFonts w:hint="eastAsia" w:ascii="黑体" w:hAnsi="黑体" w:eastAsia="黑体" w:cs="黑体"/>
          <w:color w:val="000000"/>
          <w:sz w:val="32"/>
          <w:szCs w:val="32"/>
        </w:rPr>
        <w:t>五、有关事项说明</w:t>
      </w:r>
      <w:bookmarkEnd w:id="33"/>
      <w:bookmarkEnd w:id="34"/>
      <w:bookmarkEnd w:id="35"/>
      <w:bookmarkEnd w:id="36"/>
    </w:p>
    <w:p w14:paraId="211D0E7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本</w:t>
      </w:r>
      <w:r>
        <w:rPr>
          <w:rFonts w:hint="eastAsia" w:ascii="Times New Roman" w:hAnsi="Times New Roman" w:eastAsia="仿宋_GB2312"/>
          <w:sz w:val="32"/>
          <w:szCs w:val="32"/>
        </w:rPr>
        <w:t>评审结果是该项目财政预算控制上限，作为预算执行的重要依据，</w:t>
      </w:r>
      <w:r>
        <w:rPr>
          <w:rFonts w:hint="eastAsia" w:ascii="仿宋_GB2312" w:hAnsi="仿宋_GB2312" w:eastAsia="仿宋_GB2312" w:cs="仿宋_GB2312"/>
          <w:sz w:val="32"/>
          <w:szCs w:val="32"/>
        </w:rPr>
        <w:t>不作为招投标、政府采购、结算和决算的依据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。请</w:t>
      </w:r>
      <w:r>
        <w:rPr>
          <w:rFonts w:hint="eastAsia" w:ascii="Times New Roman" w:hAnsi="Times New Roman" w:eastAsia="仿宋_GB2312"/>
          <w:sz w:val="32"/>
          <w:szCs w:val="32"/>
        </w:rPr>
        <w:t>根据预算执行评审结果调整预算安排并指导相关部门严控预算执行，督促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项目单位严格遵守各项法律法规、财经纪律和财务管理制度。资金管理科室对预算评审类型和报告使用负责。</w:t>
      </w:r>
    </w:p>
    <w:p w14:paraId="5DF4315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项目预算控制上限依据项目单位提供的设计图纸、施工方案，参照相关法律法规、行业规范标准及市场询价结果出具。若因送审资料完整性不足、准确性欠缺等情形导致的偏差，相关责任由项目单位自行承担。</w:t>
      </w:r>
    </w:p>
    <w:p w14:paraId="37BC9488"/>
    <w:p w14:paraId="321EFDE1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1AE7CDB4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418D0ADC">
      <w:pPr>
        <w:overflowPunct w:val="0"/>
        <w:ind w:firstLine="640" w:firstLineChars="200"/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89AF4E7">
      <w:pPr>
        <w:overflowPunct w:val="0"/>
        <w:ind w:firstLine="640" w:firstLineChars="200"/>
        <w:jc w:val="righ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常德市财政局投资评审中心</w:t>
      </w:r>
    </w:p>
    <w:p w14:paraId="4BB23768">
      <w:pPr>
        <w:pStyle w:val="2"/>
        <w:wordWrap w:val="0"/>
        <w:spacing w:line="600" w:lineRule="exact"/>
        <w:ind w:left="5460" w:right="332" w:hanging="73"/>
        <w:jc w:val="right"/>
        <w:rPr>
          <w:rFonts w:ascii="Times New Roman" w:hAnsi="Times New Roma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1A3C169A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14A611B4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547F8A41">
      <w:pPr>
        <w:pStyle w:val="2"/>
        <w:rPr>
          <w:rFonts w:ascii="仿宋_GB2312" w:eastAsia="仿宋_GB2312"/>
          <w:sz w:val="32"/>
          <w:szCs w:val="32"/>
        </w:rPr>
      </w:pPr>
    </w:p>
    <w:p w14:paraId="09B45A72">
      <w:pPr>
        <w:pStyle w:val="2"/>
        <w:rPr>
          <w:rFonts w:ascii="仿宋_GB2312" w:eastAsia="仿宋_GB2312"/>
          <w:sz w:val="32"/>
          <w:szCs w:val="32"/>
        </w:rPr>
      </w:pPr>
    </w:p>
    <w:p w14:paraId="51C653C5">
      <w:pPr>
        <w:pStyle w:val="2"/>
        <w:rPr>
          <w:rFonts w:ascii="仿宋_GB2312" w:eastAsia="仿宋_GB2312"/>
          <w:sz w:val="32"/>
          <w:szCs w:val="32"/>
        </w:rPr>
      </w:pPr>
    </w:p>
    <w:p w14:paraId="7EFAD3D5">
      <w:pPr>
        <w:pStyle w:val="2"/>
        <w:rPr>
          <w:rFonts w:ascii="仿宋_GB2312" w:eastAsia="仿宋_GB2312"/>
          <w:sz w:val="32"/>
          <w:szCs w:val="32"/>
        </w:rPr>
      </w:pPr>
    </w:p>
    <w:p w14:paraId="44493858">
      <w:pPr>
        <w:pStyle w:val="2"/>
        <w:rPr>
          <w:rFonts w:ascii="仿宋_GB2312" w:eastAsia="仿宋_GB2312"/>
          <w:sz w:val="32"/>
          <w:szCs w:val="32"/>
        </w:rPr>
      </w:pPr>
    </w:p>
    <w:p w14:paraId="4166A630">
      <w:pPr>
        <w:pStyle w:val="2"/>
        <w:rPr>
          <w:rFonts w:ascii="仿宋_GB2312" w:eastAsia="仿宋_GB2312"/>
          <w:sz w:val="32"/>
          <w:szCs w:val="32"/>
        </w:rPr>
      </w:pPr>
    </w:p>
    <w:p w14:paraId="2AB52DAD">
      <w:pPr>
        <w:pStyle w:val="2"/>
        <w:rPr>
          <w:rFonts w:ascii="仿宋_GB2312" w:eastAsia="仿宋_GB2312"/>
          <w:sz w:val="32"/>
          <w:szCs w:val="32"/>
        </w:rPr>
      </w:pPr>
    </w:p>
    <w:p w14:paraId="139F2FA4">
      <w:pPr>
        <w:pStyle w:val="2"/>
        <w:rPr>
          <w:rFonts w:ascii="仿宋_GB2312" w:eastAsia="仿宋_GB2312"/>
          <w:sz w:val="32"/>
          <w:szCs w:val="32"/>
        </w:rPr>
      </w:pPr>
    </w:p>
    <w:p w14:paraId="6FCEF92E">
      <w:pPr>
        <w:pStyle w:val="2"/>
        <w:rPr>
          <w:rFonts w:ascii="仿宋_GB2312" w:eastAsia="仿宋_GB2312"/>
          <w:sz w:val="32"/>
          <w:szCs w:val="32"/>
        </w:rPr>
      </w:pPr>
    </w:p>
    <w:p w14:paraId="2147A192">
      <w:pPr>
        <w:pStyle w:val="2"/>
        <w:rPr>
          <w:rFonts w:ascii="仿宋_GB2312" w:eastAsia="仿宋_GB2312"/>
          <w:sz w:val="32"/>
          <w:szCs w:val="32"/>
        </w:rPr>
      </w:pPr>
    </w:p>
    <w:p w14:paraId="07FB5AF4">
      <w:pPr>
        <w:pStyle w:val="2"/>
        <w:rPr>
          <w:rFonts w:ascii="仿宋_GB2312" w:eastAsia="仿宋_GB2312"/>
          <w:sz w:val="32"/>
          <w:szCs w:val="32"/>
        </w:rPr>
      </w:pPr>
    </w:p>
    <w:p w14:paraId="4ADF31A3">
      <w:pPr>
        <w:pStyle w:val="2"/>
        <w:rPr>
          <w:rFonts w:ascii="仿宋_GB2312" w:eastAsia="仿宋_GB2312"/>
          <w:sz w:val="32"/>
          <w:szCs w:val="32"/>
        </w:rPr>
      </w:pPr>
    </w:p>
    <w:p w14:paraId="20F9B298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附表</w:t>
      </w:r>
    </w:p>
    <w:tbl>
      <w:tblPr>
        <w:tblStyle w:val="21"/>
        <w:tblW w:w="935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43"/>
        <w:gridCol w:w="1701"/>
        <w:gridCol w:w="1418"/>
        <w:gridCol w:w="1417"/>
        <w:gridCol w:w="84"/>
        <w:gridCol w:w="2042"/>
      </w:tblGrid>
      <w:tr w14:paraId="50BE73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45CC6">
            <w:pPr>
              <w:pStyle w:val="12"/>
              <w:spacing w:line="600" w:lineRule="exact"/>
              <w:jc w:val="center"/>
              <w:outlineLvl w:val="0"/>
              <w:rPr>
                <w:rFonts w:hint="eastAsia" w:ascii="宋体" w:hAnsi="宋体" w:eastAsia="宋体" w:cs="宋体"/>
                <w:color w:val="000000"/>
                <w:sz w:val="4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44"/>
                <w:lang w:eastAsia="zh-CN"/>
              </w:rPr>
              <w:t>常德市2026年春节临时亮化工程</w:t>
            </w:r>
          </w:p>
          <w:p w14:paraId="4680A81E">
            <w:pPr>
              <w:pStyle w:val="12"/>
              <w:spacing w:line="600" w:lineRule="exact"/>
              <w:jc w:val="center"/>
              <w:outlineLvl w:val="0"/>
              <w:rPr>
                <w:rFonts w:ascii="宋体" w:hAnsi="宋体" w:cs="宋体"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color w:val="000000"/>
                <w:sz w:val="44"/>
                <w:lang w:eastAsia="zh-CN"/>
              </w:rPr>
              <w:t>预算执行评审汇总表</w:t>
            </w:r>
          </w:p>
        </w:tc>
      </w:tr>
      <w:tr w14:paraId="0CDC4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731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74C319">
            <w:pPr>
              <w:jc w:val="left"/>
              <w:rPr>
                <w:rFonts w:ascii="仿宋_GB2312" w:hAnsi="仿宋_GB2312" w:eastAsia="仿宋_GB2312" w:cs="仿宋_GB2312"/>
                <w:sz w:val="28"/>
                <w:szCs w:val="28"/>
                <w:u w:val="single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6D582B">
            <w:pPr>
              <w:widowControl/>
              <w:jc w:val="right"/>
              <w:rPr>
                <w:rFonts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金额单位：元</w:t>
            </w:r>
          </w:p>
        </w:tc>
      </w:tr>
      <w:tr w14:paraId="1CF191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exact"/>
          <w:jc w:val="center"/>
        </w:trPr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589D4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57AEE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评审内容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09F279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送审金额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7E905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审定金额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A32F38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审减金额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75F57">
            <w:pPr>
              <w:widowControl/>
              <w:spacing w:line="24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备  注</w:t>
            </w:r>
          </w:p>
        </w:tc>
      </w:tr>
      <w:tr w14:paraId="72BA71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02B2F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一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59FB6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工程费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CE9DA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1093004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416C7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1042800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AAE2E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50204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8E51E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4CB09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731A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二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26A0A8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前期费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E42BF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835AA6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15350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97429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-15350</w:t>
            </w: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2A2B46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753C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3509A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80E7E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招标代理费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0DCDB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5724F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>1</w:t>
            </w: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F15BD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>-</w:t>
            </w: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10240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1FA16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>常财办发〔2024〕年7号</w:t>
            </w:r>
          </w:p>
        </w:tc>
      </w:tr>
      <w:tr w14:paraId="15B4F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BC5B7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CEB53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造价咨询费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CB415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556CF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>5</w:t>
            </w: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FFA20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>-</w:t>
            </w: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5110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B5693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>常财办发〔2017〕年68号</w:t>
            </w:r>
          </w:p>
        </w:tc>
      </w:tr>
      <w:tr w14:paraId="67F89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45F8AB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1A0A5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合  计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CC2B1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1093004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5D7BE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1058150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26CE4">
            <w:pPr>
              <w:widowControl/>
              <w:jc w:val="center"/>
              <w:rPr>
                <w:rFonts w:ascii="仿宋_GB2312" w:hAnsi="等线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34854</w:t>
            </w: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82AA3">
            <w:pPr>
              <w:widowControl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>审减率</w:t>
            </w:r>
            <w:r>
              <w:rPr>
                <w:rFonts w:ascii="仿宋_GB2312" w:hAnsi="等线" w:eastAsia="仿宋_GB2312"/>
                <w:color w:val="000000"/>
                <w:sz w:val="24"/>
                <w:szCs w:val="24"/>
              </w:rPr>
              <w:t>3.19</w:t>
            </w:r>
            <w:r>
              <w:rPr>
                <w:rFonts w:hint="eastAsia" w:ascii="仿宋_GB2312" w:hAnsi="等线" w:eastAsia="仿宋_GB2312"/>
                <w:color w:val="000000"/>
                <w:sz w:val="24"/>
                <w:szCs w:val="24"/>
              </w:rPr>
              <w:t>%</w:t>
            </w:r>
          </w:p>
        </w:tc>
      </w:tr>
    </w:tbl>
    <w:p w14:paraId="46B5160B">
      <w:bookmarkStart w:id="37" w:name="_GoBack"/>
      <w:bookmarkEnd w:id="37"/>
    </w:p>
    <w:sectPr>
      <w:pgSz w:w="11906" w:h="16838"/>
      <w:pgMar w:top="2154" w:right="1531" w:bottom="1440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95"/>
    <w:rsid w:val="00000756"/>
    <w:rsid w:val="00047A38"/>
    <w:rsid w:val="00070F9E"/>
    <w:rsid w:val="00085B23"/>
    <w:rsid w:val="001215E9"/>
    <w:rsid w:val="00124BA6"/>
    <w:rsid w:val="00146D5F"/>
    <w:rsid w:val="001479F8"/>
    <w:rsid w:val="0019629D"/>
    <w:rsid w:val="001B5241"/>
    <w:rsid w:val="001D0A22"/>
    <w:rsid w:val="0021362D"/>
    <w:rsid w:val="00224739"/>
    <w:rsid w:val="002550DA"/>
    <w:rsid w:val="002836F7"/>
    <w:rsid w:val="002910E0"/>
    <w:rsid w:val="00293F9D"/>
    <w:rsid w:val="002A76CD"/>
    <w:rsid w:val="0030666D"/>
    <w:rsid w:val="003459A7"/>
    <w:rsid w:val="00355006"/>
    <w:rsid w:val="003B1247"/>
    <w:rsid w:val="003C1927"/>
    <w:rsid w:val="003E7F11"/>
    <w:rsid w:val="00423F06"/>
    <w:rsid w:val="00476095"/>
    <w:rsid w:val="00484DFC"/>
    <w:rsid w:val="004A70E5"/>
    <w:rsid w:val="004B2325"/>
    <w:rsid w:val="004D08C3"/>
    <w:rsid w:val="005278A7"/>
    <w:rsid w:val="00530125"/>
    <w:rsid w:val="00597761"/>
    <w:rsid w:val="005A1A13"/>
    <w:rsid w:val="005A2DA7"/>
    <w:rsid w:val="005C25C6"/>
    <w:rsid w:val="005E03B0"/>
    <w:rsid w:val="00614B88"/>
    <w:rsid w:val="00617840"/>
    <w:rsid w:val="006365E1"/>
    <w:rsid w:val="00643849"/>
    <w:rsid w:val="0068120E"/>
    <w:rsid w:val="00684E64"/>
    <w:rsid w:val="006908F6"/>
    <w:rsid w:val="006F4ED8"/>
    <w:rsid w:val="00722D8E"/>
    <w:rsid w:val="007674DA"/>
    <w:rsid w:val="00783187"/>
    <w:rsid w:val="00797138"/>
    <w:rsid w:val="007977F1"/>
    <w:rsid w:val="007B3C1D"/>
    <w:rsid w:val="00885C95"/>
    <w:rsid w:val="008949B8"/>
    <w:rsid w:val="008C6E6E"/>
    <w:rsid w:val="008E5B8C"/>
    <w:rsid w:val="009071FD"/>
    <w:rsid w:val="00957E17"/>
    <w:rsid w:val="009729BD"/>
    <w:rsid w:val="00983433"/>
    <w:rsid w:val="00987E15"/>
    <w:rsid w:val="009A5363"/>
    <w:rsid w:val="009C212A"/>
    <w:rsid w:val="009D0076"/>
    <w:rsid w:val="009D294F"/>
    <w:rsid w:val="009E1678"/>
    <w:rsid w:val="009E3E4E"/>
    <w:rsid w:val="009F3207"/>
    <w:rsid w:val="00A20CF8"/>
    <w:rsid w:val="00A539F7"/>
    <w:rsid w:val="00A83634"/>
    <w:rsid w:val="00A97E3B"/>
    <w:rsid w:val="00AE318F"/>
    <w:rsid w:val="00AF11B0"/>
    <w:rsid w:val="00B10D36"/>
    <w:rsid w:val="00B131C8"/>
    <w:rsid w:val="00B13E31"/>
    <w:rsid w:val="00B21E71"/>
    <w:rsid w:val="00B57111"/>
    <w:rsid w:val="00B639CD"/>
    <w:rsid w:val="00B743AF"/>
    <w:rsid w:val="00B93D71"/>
    <w:rsid w:val="00B97A21"/>
    <w:rsid w:val="00BB045A"/>
    <w:rsid w:val="00BD2724"/>
    <w:rsid w:val="00BD3961"/>
    <w:rsid w:val="00BF1B1B"/>
    <w:rsid w:val="00C160E8"/>
    <w:rsid w:val="00C3151B"/>
    <w:rsid w:val="00C363A1"/>
    <w:rsid w:val="00C60121"/>
    <w:rsid w:val="00C810E0"/>
    <w:rsid w:val="00C879BE"/>
    <w:rsid w:val="00CA5754"/>
    <w:rsid w:val="00CB2A73"/>
    <w:rsid w:val="00CC1F81"/>
    <w:rsid w:val="00D40239"/>
    <w:rsid w:val="00D45129"/>
    <w:rsid w:val="00D505AA"/>
    <w:rsid w:val="00D62C9B"/>
    <w:rsid w:val="00D83731"/>
    <w:rsid w:val="00DA4780"/>
    <w:rsid w:val="00DB1BF1"/>
    <w:rsid w:val="00DC5B31"/>
    <w:rsid w:val="00DD2057"/>
    <w:rsid w:val="00DE41FE"/>
    <w:rsid w:val="00E254A1"/>
    <w:rsid w:val="00E9313F"/>
    <w:rsid w:val="00EA0017"/>
    <w:rsid w:val="00EC598A"/>
    <w:rsid w:val="00ED1673"/>
    <w:rsid w:val="00F36E1D"/>
    <w:rsid w:val="00F46681"/>
    <w:rsid w:val="00F67CB7"/>
    <w:rsid w:val="00F85FF3"/>
    <w:rsid w:val="00FE121F"/>
    <w:rsid w:val="00FE4C73"/>
    <w:rsid w:val="00FF293D"/>
    <w:rsid w:val="4D2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qFormat="1"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4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6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2F5597" w:themeColor="accent1" w:themeShade="BF"/>
      <w:sz w:val="28"/>
      <w:szCs w:val="28"/>
    </w:rPr>
  </w:style>
  <w:style w:type="paragraph" w:styleId="7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2F5597" w:themeColor="accent1" w:themeShade="BF"/>
      <w:sz w:val="24"/>
    </w:rPr>
  </w:style>
  <w:style w:type="paragraph" w:styleId="8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sz w:val="24"/>
    </w:rPr>
  </w:style>
  <w:style w:type="paragraph" w:styleId="9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8"/>
    <w:basedOn w:val="1"/>
    <w:next w:val="1"/>
    <w:link w:val="30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1">
    <w:name w:val="heading 9"/>
    <w:basedOn w:val="1"/>
    <w:next w:val="1"/>
    <w:link w:val="31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2">
    <w:name w:val="Default Paragraph Font"/>
    <w:semiHidden/>
    <w:unhideWhenUsed/>
    <w:uiPriority w:val="1"/>
  </w:style>
  <w:style w:type="table" w:default="1" w:styleId="2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41"/>
    <w:qFormat/>
    <w:uiPriority w:val="0"/>
    <w:pPr>
      <w:spacing w:line="588" w:lineRule="atLeast"/>
    </w:pPr>
    <w:rPr>
      <w:rFonts w:eastAsia="方正仿宋_GBK"/>
      <w:spacing w:val="6"/>
      <w:sz w:val="30"/>
      <w:szCs w:val="22"/>
    </w:rPr>
  </w:style>
  <w:style w:type="paragraph" w:styleId="12">
    <w:name w:val="Body Text"/>
    <w:basedOn w:val="1"/>
    <w:next w:val="13"/>
    <w:link w:val="42"/>
    <w:semiHidden/>
    <w:qFormat/>
    <w:uiPriority w:val="0"/>
    <w:rPr>
      <w:rFonts w:ascii="Arial" w:hAnsi="Arial" w:eastAsia="Arial" w:cs="Arial"/>
      <w:szCs w:val="21"/>
      <w:lang w:eastAsia="en-US"/>
    </w:rPr>
  </w:style>
  <w:style w:type="paragraph" w:styleId="13">
    <w:name w:val="toc 9"/>
    <w:basedOn w:val="1"/>
    <w:next w:val="1"/>
    <w:autoRedefine/>
    <w:semiHidden/>
    <w:unhideWhenUsed/>
    <w:qFormat/>
    <w:uiPriority w:val="39"/>
    <w:pPr>
      <w:ind w:left="3360" w:leftChars="1600"/>
    </w:pPr>
  </w:style>
  <w:style w:type="paragraph" w:styleId="14">
    <w:name w:val="Body Text Indent"/>
    <w:basedOn w:val="1"/>
    <w:next w:val="15"/>
    <w:link w:val="43"/>
    <w:qFormat/>
    <w:uiPriority w:val="0"/>
    <w:pPr>
      <w:ind w:firstLine="600" w:firstLineChars="200"/>
    </w:pPr>
    <w:rPr>
      <w:rFonts w:eastAsia="仿宋_GB2312"/>
      <w:sz w:val="30"/>
    </w:rPr>
  </w:style>
  <w:style w:type="paragraph" w:styleId="15">
    <w:name w:val="envelope return"/>
    <w:basedOn w:val="1"/>
    <w:semiHidden/>
    <w:unhideWhenUsed/>
    <w:qFormat/>
    <w:uiPriority w:val="99"/>
    <w:pPr>
      <w:snapToGrid w:val="0"/>
    </w:pPr>
    <w:rPr>
      <w:rFonts w:asciiTheme="majorHAnsi" w:hAnsiTheme="majorHAnsi" w:eastAsiaTheme="majorEastAsia" w:cstheme="majorBidi"/>
    </w:rPr>
  </w:style>
  <w:style w:type="paragraph" w:styleId="16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7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44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Subtitle"/>
    <w:basedOn w:val="1"/>
    <w:next w:val="1"/>
    <w:link w:val="33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Title"/>
    <w:basedOn w:val="1"/>
    <w:next w:val="1"/>
    <w:link w:val="32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3">
    <w:name w:val="标题 1 字符"/>
    <w:basedOn w:val="22"/>
    <w:link w:val="3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4">
    <w:name w:val="标题 2 字符"/>
    <w:basedOn w:val="22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5">
    <w:name w:val="标题 3 字符"/>
    <w:basedOn w:val="22"/>
    <w:link w:val="5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6">
    <w:name w:val="标题 4 字符"/>
    <w:basedOn w:val="22"/>
    <w:link w:val="6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7">
    <w:name w:val="标题 5 字符"/>
    <w:basedOn w:val="22"/>
    <w:link w:val="7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8">
    <w:name w:val="标题 6 字符"/>
    <w:basedOn w:val="22"/>
    <w:link w:val="8"/>
    <w:semiHidden/>
    <w:qFormat/>
    <w:uiPriority w:val="9"/>
    <w:rPr>
      <w:rFonts w:cstheme="majorBidi"/>
      <w:b/>
      <w:bCs/>
      <w:color w:val="2F5597" w:themeColor="accent1" w:themeShade="BF"/>
      <w:sz w:val="24"/>
      <w:szCs w:val="24"/>
    </w:rPr>
  </w:style>
  <w:style w:type="character" w:customStyle="1" w:styleId="29">
    <w:name w:val="标题 7 字符"/>
    <w:basedOn w:val="22"/>
    <w:link w:val="9"/>
    <w:semiHidden/>
    <w:qFormat/>
    <w:uiPriority w:val="9"/>
    <w:rPr>
      <w:rFonts w:cstheme="majorBidi"/>
      <w:b/>
      <w:bCs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8 字符"/>
    <w:basedOn w:val="22"/>
    <w:link w:val="10"/>
    <w:semiHidden/>
    <w:uiPriority w:val="9"/>
    <w:rPr>
      <w:rFonts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9 字符"/>
    <w:basedOn w:val="22"/>
    <w:link w:val="11"/>
    <w:semiHidden/>
    <w:qFormat/>
    <w:uiPriority w:val="9"/>
    <w:rPr>
      <w:rFonts w:eastAsiaTheme="majorEastAsia" w:cstheme="majorBidi"/>
      <w:color w:val="595959" w:themeColor="text1" w:themeTint="A6"/>
      <w:sz w:val="24"/>
      <w:szCs w:val="24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字符"/>
    <w:basedOn w:val="22"/>
    <w:link w:val="2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3">
    <w:name w:val="副标题 字符"/>
    <w:basedOn w:val="22"/>
    <w:link w:val="19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Quote"/>
    <w:basedOn w:val="1"/>
    <w:next w:val="1"/>
    <w:link w:val="35"/>
    <w:qFormat/>
    <w:uiPriority w:val="29"/>
    <w:pPr>
      <w:spacing w:before="160" w:after="160"/>
      <w:jc w:val="center"/>
    </w:pPr>
    <w:rPr>
      <w:rFonts w:ascii="Times New Roman" w:hAnsi="Times New Roman" w:eastAsia="仿宋_GB2312"/>
      <w:i/>
      <w:iCs/>
      <w:color w:val="404040" w:themeColor="text1" w:themeTint="BF"/>
      <w:sz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引用 字符"/>
    <w:basedOn w:val="22"/>
    <w:link w:val="34"/>
    <w:qFormat/>
    <w:uiPriority w:val="29"/>
    <w:rPr>
      <w:rFonts w:ascii="Times New Roman" w:hAnsi="Times New Roman" w:eastAsia="仿宋_GB2312" w:cs="Times New Roman"/>
      <w:i/>
      <w:iCs/>
      <w:color w:val="404040" w:themeColor="text1" w:themeTint="BF"/>
      <w:sz w:val="24"/>
      <w:szCs w:val="24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6">
    <w:name w:val="List Paragraph"/>
    <w:basedOn w:val="1"/>
    <w:qFormat/>
    <w:uiPriority w:val="34"/>
    <w:pPr>
      <w:ind w:left="720"/>
      <w:contextualSpacing/>
    </w:pPr>
    <w:rPr>
      <w:rFonts w:ascii="Times New Roman" w:hAnsi="Times New Roman" w:eastAsia="仿宋_GB2312"/>
      <w:sz w:val="24"/>
    </w:rPr>
  </w:style>
  <w:style w:type="character" w:customStyle="1" w:styleId="37">
    <w:name w:val="Intense Emphasis"/>
    <w:basedOn w:val="22"/>
    <w:qFormat/>
    <w:uiPriority w:val="21"/>
    <w:rPr>
      <w:i/>
      <w:iCs/>
      <w:color w:val="2F5597" w:themeColor="accent1" w:themeShade="BF"/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rFonts w:ascii="Times New Roman" w:hAnsi="Times New Roman" w:eastAsia="仿宋_GB2312"/>
      <w:i/>
      <w:iCs/>
      <w:color w:val="2F5597" w:themeColor="accent1" w:themeShade="BF"/>
      <w:sz w:val="24"/>
    </w:rPr>
  </w:style>
  <w:style w:type="character" w:customStyle="1" w:styleId="39">
    <w:name w:val="明显引用 字符"/>
    <w:basedOn w:val="22"/>
    <w:link w:val="38"/>
    <w:qFormat/>
    <w:uiPriority w:val="30"/>
    <w:rPr>
      <w:rFonts w:ascii="Times New Roman" w:hAnsi="Times New Roman" w:eastAsia="仿宋_GB2312" w:cs="Times New Roman"/>
      <w:i/>
      <w:iCs/>
      <w:color w:val="2F5597" w:themeColor="accent1" w:themeShade="BF"/>
      <w:sz w:val="24"/>
      <w:szCs w:val="24"/>
    </w:rPr>
  </w:style>
  <w:style w:type="character" w:customStyle="1" w:styleId="40">
    <w:name w:val="Intense Reference"/>
    <w:basedOn w:val="22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1">
    <w:name w:val="正文文本缩进 2 字符"/>
    <w:basedOn w:val="22"/>
    <w:link w:val="2"/>
    <w:qFormat/>
    <w:uiPriority w:val="0"/>
    <w:rPr>
      <w:rFonts w:ascii="Calibri" w:hAnsi="Calibri" w:eastAsia="方正仿宋_GBK" w:cs="Times New Roman"/>
      <w:spacing w:val="6"/>
      <w:sz w:val="30"/>
    </w:rPr>
  </w:style>
  <w:style w:type="character" w:customStyle="1" w:styleId="42">
    <w:name w:val="正文文本 字符"/>
    <w:basedOn w:val="22"/>
    <w:link w:val="12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43">
    <w:name w:val="正文文本缩进 字符"/>
    <w:basedOn w:val="22"/>
    <w:link w:val="14"/>
    <w:qFormat/>
    <w:uiPriority w:val="0"/>
    <w:rPr>
      <w:rFonts w:ascii="Calibri" w:hAnsi="Calibri" w:eastAsia="仿宋_GB2312" w:cs="Times New Roman"/>
      <w:sz w:val="30"/>
      <w:szCs w:val="24"/>
    </w:rPr>
  </w:style>
  <w:style w:type="character" w:customStyle="1" w:styleId="44">
    <w:name w:val="页眉 字符"/>
    <w:basedOn w:val="22"/>
    <w:link w:val="1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5">
    <w:name w:val="页脚 字符"/>
    <w:basedOn w:val="22"/>
    <w:link w:val="1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46">
    <w:name w:val="批注框文本 字符"/>
    <w:basedOn w:val="22"/>
    <w:link w:val="16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1079</Words>
  <Characters>1178</Characters>
  <Lines>10</Lines>
  <Paragraphs>2</Paragraphs>
  <TotalTime>400</TotalTime>
  <ScaleCrop>false</ScaleCrop>
  <LinksUpToDate>false</LinksUpToDate>
  <CharactersWithSpaces>1186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2025-11-11T09:05:00Z</dcterms:created>
  <dc:creator>v</dc:creator>
  <cp:lastModifiedBy>～小太阳。</cp:lastModifiedBy>
  <cp:lastPrinted>2026-01-07T07:30:00Z</cp:lastPrinted>
  <dcterms:modified xsi:type="dcterms:W3CDTF">2026-01-09T01:21:11Z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eyJoZGlkIjoiN2JhZWQ5OTNmMDkxZjMwYjU4ZmUwNzc3NTdiZGUwY2IiLCJ1c2VySWQiOiIxMDc2NTE4NzkzIn0=</vt:lpwstr>
  </property>
  <property fmtid="{D5CDD505-2E9C-101B-9397-08002B2CF9AE}" pid="3" name="KSOProductBuildVer">
    <vt:lpwstr>2052-12.1.0.24034</vt:lpwstr>
  </property>
  <property fmtid="{D5CDD505-2E9C-101B-9397-08002B2CF9AE}" pid="4" name="ICV">
    <vt:lpwstr>D2A1291A426D427E8CE81444B9548AB0_12</vt:lpwstr>
  </property>
</Properties>
</file>