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210CDA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0"/>
        <w:rPr>
          <w:rFonts w:ascii="Times New Roman" w:hAnsi="Times New Roman" w:eastAsia="方正小标宋_GBK" w:cs="Times New Roman"/>
          <w:color w:val="000000"/>
          <w:sz w:val="44"/>
          <w:lang w:eastAsia="zh-CN"/>
        </w:rPr>
      </w:pPr>
      <w:bookmarkStart w:id="0" w:name="_Toc1670908148_WPSOffice_Level1"/>
      <w:bookmarkStart w:id="1" w:name="_Toc678217306_WPSOffice_Level1"/>
      <w:bookmarkStart w:id="2" w:name="_Toc2123423747_WPSOffice_Level1"/>
      <w:bookmarkStart w:id="3" w:name="_Toc178124550_WPSOffice_Level1"/>
    </w:p>
    <w:p w14:paraId="4FEDFA68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ascii="Times New Roman" w:hAnsi="Times New Roman" w:eastAsia="方正小标宋_GBK" w:cs="Times New Roman"/>
          <w:color w:val="000000"/>
          <w:sz w:val="44"/>
          <w:lang w:eastAsia="zh-CN"/>
        </w:rPr>
      </w:pPr>
    </w:p>
    <w:p w14:paraId="240E50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lang w:eastAsia="zh-CN"/>
        </w:rPr>
      </w:pPr>
    </w:p>
    <w:p w14:paraId="115B2A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ascii="Times New Roman" w:hAnsi="Times New Roman" w:eastAsia="方正小标宋_GBK" w:cs="Times New Roman"/>
          <w:color w:val="000000"/>
          <w:sz w:val="44"/>
          <w:lang w:eastAsia="zh-CN"/>
        </w:rPr>
      </w:pPr>
    </w:p>
    <w:p w14:paraId="3EA2257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ascii="Times New Roman" w:hAnsi="Times New Roman" w:eastAsia="方正小标宋_GBK" w:cs="Times New Roman"/>
          <w:color w:val="000000"/>
          <w:sz w:val="44"/>
          <w:lang w:eastAsia="zh-CN"/>
        </w:rPr>
      </w:pPr>
    </w:p>
    <w:p w14:paraId="36BC9FF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ascii="Times New Roman" w:hAnsi="Times New Roman" w:eastAsia="方正小标宋_GBK" w:cs="Times New Roman"/>
          <w:color w:val="000000"/>
          <w:sz w:val="44"/>
          <w:lang w:eastAsia="zh-CN"/>
        </w:rPr>
      </w:pPr>
    </w:p>
    <w:p w14:paraId="27A09443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0"/>
      </w:pPr>
    </w:p>
    <w:p w14:paraId="4EC6D649">
      <w:pPr>
        <w:spacing w:line="600" w:lineRule="exact"/>
        <w:jc w:val="center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常财审</w:t>
      </w:r>
      <w:r>
        <w:rPr>
          <w:rFonts w:hint="eastAsia" w:ascii="仿宋_GB2312" w:hAnsi="仿宋_GB2312" w:eastAsia="仿宋_GB2312"/>
          <w:sz w:val="32"/>
        </w:rPr>
        <w:t>〔202</w:t>
      </w:r>
      <w:r>
        <w:rPr>
          <w:rFonts w:hint="eastAsia" w:ascii="仿宋_GB2312" w:hAnsi="仿宋_GB2312" w:eastAsia="仿宋_GB2312"/>
          <w:sz w:val="32"/>
          <w:lang w:val="en-US" w:eastAsia="zh-CN"/>
        </w:rPr>
        <w:t>6</w:t>
      </w:r>
      <w:r>
        <w:rPr>
          <w:rFonts w:hint="eastAsia" w:ascii="仿宋_GB2312" w:hAnsi="仿宋_GB2312" w:eastAsia="仿宋_GB2312"/>
          <w:sz w:val="32"/>
        </w:rPr>
        <w:t>〕预</w:t>
      </w:r>
      <w:r>
        <w:rPr>
          <w:rFonts w:hint="eastAsia" w:ascii="仿宋_GB2312" w:eastAsia="仿宋_GB2312"/>
          <w:sz w:val="32"/>
        </w:rPr>
        <w:t>字</w:t>
      </w:r>
      <w:r>
        <w:rPr>
          <w:rFonts w:hint="eastAsia" w:ascii="仿宋_GB2312" w:eastAsia="仿宋_GB2312"/>
          <w:sz w:val="32"/>
          <w:lang w:val="en-US" w:eastAsia="zh-CN"/>
        </w:rPr>
        <w:t>4</w:t>
      </w:r>
      <w:r>
        <w:rPr>
          <w:rFonts w:hint="eastAsia" w:ascii="仿宋_GB2312" w:eastAsia="仿宋_GB2312"/>
          <w:sz w:val="32"/>
        </w:rPr>
        <w:t>号</w:t>
      </w:r>
    </w:p>
    <w:p w14:paraId="27ED1EE4">
      <w:pPr>
        <w:pStyle w:val="12"/>
        <w:spacing w:line="600" w:lineRule="exact"/>
        <w:jc w:val="center"/>
        <w:outlineLvl w:val="0"/>
        <w:rPr>
          <w:rFonts w:ascii="微软雅黑" w:hAnsi="微软雅黑" w:eastAsia="微软雅黑" w:cs="微软雅黑"/>
          <w:bCs/>
          <w:sz w:val="44"/>
          <w:szCs w:val="44"/>
          <w:lang w:eastAsia="zh-CN"/>
        </w:rPr>
      </w:pPr>
    </w:p>
    <w:p w14:paraId="352A6C43">
      <w:pPr>
        <w:pStyle w:val="12"/>
        <w:spacing w:line="600" w:lineRule="exact"/>
        <w:jc w:val="center"/>
        <w:outlineLvl w:val="0"/>
        <w:rPr>
          <w:rFonts w:hint="eastAsia" w:ascii="宋体" w:hAnsi="宋体" w:eastAsia="宋体" w:cs="宋体"/>
          <w:color w:val="000000"/>
          <w:sz w:val="44"/>
          <w:lang w:eastAsia="zh-CN"/>
        </w:rPr>
      </w:pPr>
      <w:r>
        <w:rPr>
          <w:rFonts w:hint="eastAsia" w:ascii="宋体" w:hAnsi="宋体" w:eastAsia="宋体" w:cs="宋体"/>
          <w:bCs/>
          <w:sz w:val="44"/>
          <w:szCs w:val="44"/>
          <w:lang w:eastAsia="zh-CN"/>
        </w:rPr>
        <w:t>关于2025年江北城区路灯管线安全隐患整改项目预算执行的</w:t>
      </w:r>
      <w:bookmarkEnd w:id="0"/>
      <w:bookmarkEnd w:id="1"/>
      <w:bookmarkEnd w:id="2"/>
      <w:bookmarkEnd w:id="3"/>
      <w:r>
        <w:rPr>
          <w:rFonts w:hint="eastAsia" w:ascii="宋体" w:hAnsi="宋体" w:eastAsia="宋体" w:cs="宋体"/>
          <w:bCs/>
          <w:sz w:val="44"/>
          <w:szCs w:val="44"/>
          <w:lang w:eastAsia="zh-CN"/>
        </w:rPr>
        <w:t>评审报告</w:t>
      </w:r>
    </w:p>
    <w:p w14:paraId="37880DBF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</w:p>
    <w:p w14:paraId="79843632">
      <w:pPr>
        <w:overflowPunct w:val="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常德市财政局经济建设科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</w:t>
      </w:r>
    </w:p>
    <w:p w14:paraId="602005E3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《2025年江北城区路灯管线安全隐患整改项目》相关资料收悉，按照客观、公正、科学的评审原则，我中心组织对该项目开展预算执行评审，具体情况如下：</w:t>
      </w:r>
    </w:p>
    <w:p w14:paraId="478EBAB1">
      <w:pPr>
        <w:pStyle w:val="14"/>
        <w:keepNext w:val="0"/>
        <w:keepLines w:val="0"/>
        <w:pageBreakBefore w:val="0"/>
        <w:widowControl w:val="0"/>
        <w:tabs>
          <w:tab w:val="left" w:pos="6266"/>
        </w:tabs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outlineLvl w:val="0"/>
        <w:rPr>
          <w:rFonts w:ascii="黑体" w:hAnsi="黑体" w:eastAsia="黑体" w:cs="黑体"/>
          <w:color w:val="000000"/>
          <w:sz w:val="32"/>
          <w:szCs w:val="32"/>
        </w:rPr>
      </w:pPr>
      <w:bookmarkStart w:id="4" w:name="_Toc445877422_WPSOffice_Level1"/>
      <w:bookmarkStart w:id="5" w:name="_Toc891472834_WPSOffice_Level1"/>
      <w:bookmarkStart w:id="6" w:name="_Toc215626143_WPSOffice_Level1"/>
      <w:bookmarkStart w:id="7" w:name="_Toc1862220243_WPSOffice_Level1"/>
      <w:r>
        <w:rPr>
          <w:rFonts w:hint="eastAsia" w:ascii="黑体" w:hAnsi="黑体" w:eastAsia="黑体" w:cs="黑体"/>
          <w:color w:val="000000"/>
          <w:sz w:val="32"/>
          <w:szCs w:val="32"/>
        </w:rPr>
        <w:t>一、项目概况</w:t>
      </w:r>
      <w:bookmarkEnd w:id="4"/>
      <w:bookmarkEnd w:id="5"/>
      <w:bookmarkEnd w:id="6"/>
      <w:bookmarkEnd w:id="7"/>
    </w:p>
    <w:p w14:paraId="499D015A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outlineLvl w:val="1"/>
        <w:rPr>
          <w:rFonts w:ascii="Times New Roman" w:hAnsi="Times New Roman" w:eastAsia="楷体_GB2312"/>
          <w:b w:val="0"/>
          <w:bCs w:val="0"/>
          <w:sz w:val="32"/>
          <w:szCs w:val="32"/>
        </w:rPr>
      </w:pPr>
      <w:bookmarkStart w:id="8" w:name="_Toc222933592_WPSOffice_Level2"/>
      <w:bookmarkStart w:id="9" w:name="_Toc1067922961_WPSOffice_Level2"/>
      <w:bookmarkStart w:id="10" w:name="_Toc90632560_WPSOffice_Level2"/>
      <w:bookmarkStart w:id="11" w:name="_Toc472741964_WPSOffice_Level2"/>
      <w:r>
        <w:rPr>
          <w:rFonts w:ascii="Times New Roman" w:hAnsi="Times New Roman" w:eastAsia="楷体_GB2312"/>
          <w:b w:val="0"/>
          <w:bCs w:val="0"/>
          <w:sz w:val="32"/>
          <w:szCs w:val="32"/>
        </w:rPr>
        <w:t>（一）项目基本情况</w:t>
      </w:r>
      <w:bookmarkEnd w:id="8"/>
      <w:bookmarkEnd w:id="9"/>
      <w:bookmarkEnd w:id="10"/>
      <w:bookmarkEnd w:id="11"/>
    </w:p>
    <w:p w14:paraId="2749A680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  <w:highlight w:val="yellow"/>
        </w:rPr>
      </w:pPr>
      <w:r>
        <w:rPr>
          <w:rFonts w:hint="eastAsia" w:ascii="仿宋_GB2312" w:hAnsi="仿宋" w:eastAsia="仿宋_GB2312"/>
          <w:sz w:val="32"/>
          <w:szCs w:val="32"/>
        </w:rPr>
        <w:t>该项目为2025年江北城区路灯管线安全隐患整改，根据市领导批示及常德市财政局对《关于继续实施江北城区路灯电费包干管理相关问题的请示》的处理意见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，节电奖励分成资金，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除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弥补日常维护费用不足外，应统筹5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0%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以上用于路灯设施设备大中修改造，节电分成政策期间内，不再安排大中修改造支出。本次路灯隐患整改项目从节电奖励分成中安排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183.61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万元。</w:t>
      </w:r>
    </w:p>
    <w:p w14:paraId="4F8536F2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outlineLvl w:val="1"/>
        <w:rPr>
          <w:rFonts w:ascii="Times New Roman" w:hAnsi="Times New Roman" w:eastAsia="楷体_GB2312"/>
          <w:b w:val="0"/>
          <w:bCs w:val="0"/>
          <w:sz w:val="32"/>
          <w:szCs w:val="32"/>
        </w:rPr>
      </w:pPr>
      <w:bookmarkStart w:id="12" w:name="_Toc1094448419_WPSOffice_Level2"/>
      <w:bookmarkStart w:id="13" w:name="_Toc1069041809_WPSOffice_Level2"/>
      <w:bookmarkStart w:id="14" w:name="_Toc1446308865_WPSOffice_Level2"/>
      <w:bookmarkStart w:id="15" w:name="_Toc830963703_WPSOffice_Level2"/>
      <w:r>
        <w:rPr>
          <w:rFonts w:ascii="Times New Roman" w:hAnsi="Times New Roman" w:eastAsia="楷体_GB2312"/>
          <w:b w:val="0"/>
          <w:bCs w:val="0"/>
          <w:sz w:val="32"/>
          <w:szCs w:val="32"/>
        </w:rPr>
        <w:t>（二）项目主要内容及申报预算情况</w:t>
      </w:r>
      <w:bookmarkEnd w:id="12"/>
      <w:bookmarkEnd w:id="13"/>
      <w:bookmarkEnd w:id="14"/>
      <w:bookmarkEnd w:id="15"/>
    </w:p>
    <w:p w14:paraId="0E35B847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因江北城区部分道路路灯及管线存在安全隐患，亟需进行改造。常德市城市照明事务中心提出对沙港路（武陵大道-朝阳路）、丹阳路（滨湖路-七里桥）、三星路（武陵大道-阳山路）、常德大道（武陵大道-阳山路）等4条道路路灯及管网进行改造。主要内容为：管沟开挖、预埋φ</w:t>
      </w:r>
      <w:r>
        <w:rPr>
          <w:rFonts w:ascii="仿宋_GB2312" w:hAnsi="仿宋" w:eastAsia="仿宋_GB2312"/>
          <w:sz w:val="32"/>
          <w:szCs w:val="32"/>
        </w:rPr>
        <w:t>75CPVC</w:t>
      </w:r>
      <w:r>
        <w:rPr>
          <w:rFonts w:hint="eastAsia" w:ascii="仿宋_GB2312" w:hAnsi="仿宋" w:eastAsia="仿宋_GB2312"/>
          <w:sz w:val="32"/>
          <w:szCs w:val="32"/>
        </w:rPr>
        <w:t>路灯管、电缆敷设、路灯杆拆除及更换等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申报建设资金1</w:t>
      </w:r>
      <w:r>
        <w:rPr>
          <w:rFonts w:ascii="仿宋_GB2312" w:hAnsi="仿宋" w:eastAsia="仿宋_GB2312"/>
          <w:sz w:val="32"/>
          <w:szCs w:val="32"/>
        </w:rPr>
        <w:t>86.5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56ED41FE">
      <w:pPr>
        <w:pStyle w:val="14"/>
        <w:keepNext w:val="0"/>
        <w:keepLines w:val="0"/>
        <w:pageBreakBefore w:val="0"/>
        <w:widowControl w:val="0"/>
        <w:tabs>
          <w:tab w:val="left" w:pos="6266"/>
        </w:tabs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outlineLvl w:val="0"/>
        <w:rPr>
          <w:rFonts w:ascii="黑体" w:hAnsi="黑体" w:eastAsia="黑体" w:cs="黑体"/>
          <w:color w:val="000000"/>
          <w:sz w:val="32"/>
          <w:szCs w:val="32"/>
        </w:rPr>
      </w:pPr>
      <w:bookmarkStart w:id="16" w:name="_Toc1890145904_WPSOffice_Level1"/>
      <w:bookmarkStart w:id="17" w:name="_Toc581615128_WPSOffice_Level1"/>
      <w:bookmarkStart w:id="18" w:name="_Toc976241670_WPSOffice_Level1"/>
      <w:bookmarkStart w:id="19" w:name="_Toc182692291_WPSOffice_Level1"/>
      <w:r>
        <w:rPr>
          <w:rFonts w:hint="eastAsia" w:ascii="黑体" w:hAnsi="黑体" w:eastAsia="黑体" w:cs="黑体"/>
          <w:color w:val="000000"/>
          <w:sz w:val="32"/>
          <w:szCs w:val="32"/>
        </w:rPr>
        <w:t>二、评审依据</w:t>
      </w:r>
      <w:bookmarkEnd w:id="16"/>
      <w:bookmarkEnd w:id="17"/>
      <w:bookmarkEnd w:id="18"/>
      <w:bookmarkEnd w:id="19"/>
    </w:p>
    <w:p w14:paraId="67099E57">
      <w:pPr>
        <w:pStyle w:val="3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</w:rPr>
        <w:t>《中华人民共和国预算法》《中华人民共和国预算法实施条例》</w:t>
      </w:r>
      <w:r>
        <w:rPr>
          <w:rFonts w:hint="eastAsia" w:ascii="仿宋_GB2312" w:hAnsi="仿宋_GB2312" w:cs="仿宋_GB2312"/>
          <w:bCs/>
          <w:sz w:val="32"/>
          <w:szCs w:val="32"/>
        </w:rPr>
        <w:t>等法律法规。</w:t>
      </w:r>
    </w:p>
    <w:p w14:paraId="016BF95F">
      <w:pPr>
        <w:pStyle w:val="3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仿宋_GB2312" w:hAnsi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_GB2312" w:hAnsi="仿宋_GB2312" w:cs="仿宋_GB2312"/>
          <w:color w:val="000000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</w:rPr>
        <w:t>湖南省住房和城乡建设厅《关于执行&lt;建设工程工程量清单计价标准&gt;及配套工程量计算标准的通知》（湘建科函〔</w:t>
      </w:r>
      <w:r>
        <w:rPr>
          <w:rFonts w:ascii="仿宋_GB2312" w:hAnsi="仿宋_GB2312" w:cs="仿宋_GB2312"/>
          <w:sz w:val="32"/>
          <w:szCs w:val="32"/>
        </w:rPr>
        <w:t>2025</w:t>
      </w:r>
      <w:r>
        <w:rPr>
          <w:rFonts w:hint="eastAsia" w:ascii="仿宋_GB2312" w:hAnsi="仿宋_GB2312" w:cs="仿宋_GB2312"/>
          <w:sz w:val="32"/>
          <w:szCs w:val="32"/>
        </w:rPr>
        <w:t>〕</w:t>
      </w:r>
      <w:r>
        <w:rPr>
          <w:rFonts w:ascii="仿宋_GB2312" w:hAnsi="仿宋_GB2312" w:cs="仿宋_GB2312"/>
          <w:sz w:val="32"/>
          <w:szCs w:val="32"/>
        </w:rPr>
        <w:t>15</w:t>
      </w:r>
      <w:r>
        <w:rPr>
          <w:rFonts w:hint="eastAsia" w:ascii="仿宋_GB2312" w:hAnsi="仿宋_GB2312" w:cs="仿宋_GB2312"/>
          <w:sz w:val="32"/>
          <w:szCs w:val="32"/>
        </w:rPr>
        <w:t>0号）。</w:t>
      </w:r>
    </w:p>
    <w:p w14:paraId="770C4D1D">
      <w:pPr>
        <w:pStyle w:val="3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仿宋_GB2312" w:hAnsi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仿宋_GB2312" w:hAnsi="仿宋_GB2312" w:cs="仿宋_GB2312"/>
          <w:color w:val="000000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</w:rPr>
        <w:t>湖南省住房和城乡建设厅《关于发布</w:t>
      </w:r>
      <w:r>
        <w:rPr>
          <w:rFonts w:ascii="仿宋_GB2312" w:hAnsi="仿宋_GB2312" w:cs="仿宋_GB2312"/>
          <w:sz w:val="32"/>
          <w:szCs w:val="32"/>
        </w:rPr>
        <w:t>2025</w:t>
      </w:r>
      <w:r>
        <w:rPr>
          <w:rFonts w:hint="eastAsia" w:ascii="仿宋_GB2312" w:hAnsi="仿宋_GB2312" w:cs="仿宋_GB2312"/>
          <w:sz w:val="32"/>
          <w:szCs w:val="32"/>
        </w:rPr>
        <w:t>&lt;湖南省建设工程消耗量标准&gt;的通知》（湘建科函〔</w:t>
      </w:r>
      <w:r>
        <w:rPr>
          <w:rFonts w:ascii="仿宋_GB2312" w:hAnsi="仿宋_GB2312" w:cs="仿宋_GB2312"/>
          <w:sz w:val="32"/>
          <w:szCs w:val="32"/>
        </w:rPr>
        <w:t>2025</w:t>
      </w:r>
      <w:r>
        <w:rPr>
          <w:rFonts w:hint="eastAsia" w:ascii="仿宋_GB2312" w:hAnsi="仿宋_GB2312" w:cs="仿宋_GB2312"/>
          <w:sz w:val="32"/>
          <w:szCs w:val="32"/>
        </w:rPr>
        <w:t>〕</w:t>
      </w:r>
      <w:r>
        <w:rPr>
          <w:rFonts w:ascii="仿宋_GB2312" w:hAnsi="仿宋_GB2312" w:cs="仿宋_GB2312"/>
          <w:sz w:val="32"/>
          <w:szCs w:val="32"/>
        </w:rPr>
        <w:t>151</w:t>
      </w:r>
      <w:r>
        <w:rPr>
          <w:rFonts w:hint="eastAsia" w:ascii="仿宋_GB2312" w:hAnsi="仿宋_GB2312" w:cs="仿宋_GB2312"/>
          <w:sz w:val="32"/>
          <w:szCs w:val="32"/>
        </w:rPr>
        <w:t>号）</w:t>
      </w:r>
      <w:r>
        <w:rPr>
          <w:rFonts w:hint="eastAsia" w:ascii="仿宋_GB2312" w:hAnsi="仿宋_GB2312" w:cs="仿宋_GB2312"/>
          <w:color w:val="000000"/>
          <w:sz w:val="32"/>
          <w:szCs w:val="32"/>
        </w:rPr>
        <w:t>。</w:t>
      </w:r>
    </w:p>
    <w:p w14:paraId="2DF745C0">
      <w:pPr>
        <w:pStyle w:val="3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仿宋_GB2312" w:hAnsi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4.</w:t>
      </w:r>
      <w:r>
        <w:rPr>
          <w:rFonts w:hint="eastAsia" w:ascii="仿宋_GB2312" w:hAnsi="仿宋_GB2312" w:cs="仿宋_GB2312"/>
          <w:color w:val="000000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cs="仿宋_GB2312"/>
          <w:color w:val="000000"/>
          <w:sz w:val="32"/>
          <w:szCs w:val="32"/>
        </w:rPr>
        <w:t>常德市财政局对《关于继续实施江北城区路灯电费包干管理相关问题的请示》的处理意见。</w:t>
      </w:r>
    </w:p>
    <w:p w14:paraId="023BA61A">
      <w:pPr>
        <w:pStyle w:val="3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outlineLvl w:val="1"/>
        <w:rPr>
          <w:rFonts w:ascii="仿宋_GB2312" w:hAnsi="仿宋_GB2312" w:cs="仿宋_GB2312"/>
          <w:sz w:val="32"/>
          <w:szCs w:val="32"/>
        </w:rPr>
      </w:pPr>
      <w:bookmarkStart w:id="20" w:name="_Toc450291478_WPSOffice_Level2"/>
      <w:bookmarkStart w:id="21" w:name="_Toc333544456_WPSOffice_Level2"/>
      <w:bookmarkStart w:id="22" w:name="_Toc680724078_WPSOffice_Level2"/>
      <w:bookmarkStart w:id="23" w:name="_Toc479871566_WPSOffice_Level2"/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5.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</w:rPr>
        <w:t>常德市建设工程造价管理站《关于公布常德市二○二五年第十期建设工程材料市场综合价的通知》（</w:t>
      </w:r>
      <w:r>
        <w:rPr>
          <w:rFonts w:hint="eastAsia" w:ascii="仿宋_GB2312"/>
          <w:sz w:val="32"/>
          <w:szCs w:val="32"/>
        </w:rPr>
        <w:t>常建价〔2025〕14号</w:t>
      </w:r>
      <w:r>
        <w:rPr>
          <w:rFonts w:hint="eastAsia" w:ascii="仿宋_GB2312" w:hAnsi="仿宋_GB2312" w:cs="仿宋_GB2312"/>
          <w:sz w:val="32"/>
          <w:szCs w:val="32"/>
        </w:rPr>
        <w:t>）及市场价格。</w:t>
      </w:r>
      <w:bookmarkEnd w:id="20"/>
      <w:bookmarkEnd w:id="21"/>
      <w:bookmarkEnd w:id="22"/>
      <w:bookmarkEnd w:id="23"/>
    </w:p>
    <w:p w14:paraId="455FF4A2">
      <w:pPr>
        <w:pStyle w:val="3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outlineLvl w:val="2"/>
        <w:rPr>
          <w:rFonts w:ascii="仿宋_GB2312" w:hAnsi="仿宋_GB2312" w:cs="仿宋_GB2312"/>
          <w:sz w:val="32"/>
          <w:szCs w:val="32"/>
        </w:rPr>
      </w:pPr>
      <w:bookmarkStart w:id="24" w:name="_Toc863367060_WPSOffice_Level3"/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6.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</w:rPr>
        <w:t>其他有关资料。</w:t>
      </w:r>
      <w:bookmarkEnd w:id="24"/>
    </w:p>
    <w:p w14:paraId="0D38C5BF">
      <w:pPr>
        <w:pStyle w:val="14"/>
        <w:keepNext w:val="0"/>
        <w:keepLines w:val="0"/>
        <w:pageBreakBefore w:val="0"/>
        <w:widowControl w:val="0"/>
        <w:tabs>
          <w:tab w:val="left" w:pos="6266"/>
        </w:tabs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outlineLvl w:val="0"/>
        <w:rPr>
          <w:rFonts w:ascii="黑体" w:hAnsi="黑体" w:eastAsia="黑体" w:cs="黑体"/>
          <w:color w:val="000000"/>
          <w:sz w:val="32"/>
          <w:szCs w:val="32"/>
        </w:rPr>
      </w:pPr>
      <w:bookmarkStart w:id="25" w:name="_Toc757239869_WPSOffice_Level1"/>
      <w:bookmarkStart w:id="26" w:name="_Toc913869554_WPSOffice_Level1"/>
      <w:bookmarkStart w:id="27" w:name="_Toc1890271026_WPSOffice_Level1"/>
      <w:bookmarkStart w:id="28" w:name="_Toc1699738589_WPSOffice_Level1"/>
      <w:r>
        <w:rPr>
          <w:rFonts w:hint="eastAsia" w:ascii="黑体" w:hAnsi="黑体" w:eastAsia="黑体" w:cs="黑体"/>
          <w:color w:val="000000"/>
          <w:sz w:val="32"/>
          <w:szCs w:val="32"/>
        </w:rPr>
        <w:t>三、评审结论</w:t>
      </w:r>
      <w:bookmarkEnd w:id="25"/>
      <w:bookmarkEnd w:id="26"/>
      <w:bookmarkEnd w:id="27"/>
      <w:bookmarkEnd w:id="28"/>
    </w:p>
    <w:p w14:paraId="5606E12A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该工程预算送审金额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1864954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元，审定金额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1737727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元，审减金额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127227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元。其中：工程费审减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168623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元，前期费审减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7808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元，不可预见费审增4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9203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元。审减主要原因如下：</w:t>
      </w:r>
    </w:p>
    <w:p w14:paraId="2AF6ADF9">
      <w:pPr>
        <w:pStyle w:val="3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仿宋_GB2312" w:hAnsi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cs="仿宋_GB2312"/>
          <w:color w:val="000000"/>
          <w:sz w:val="32"/>
          <w:szCs w:val="32"/>
        </w:rPr>
        <w:t>施工围挡多计；</w:t>
      </w:r>
    </w:p>
    <w:p w14:paraId="2A0328B7">
      <w:pPr>
        <w:pStyle w:val="3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仿宋_GB2312" w:hAnsi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cs="仿宋_GB2312"/>
          <w:color w:val="000000"/>
          <w:sz w:val="32"/>
          <w:szCs w:val="32"/>
        </w:rPr>
        <w:t>人行道板垫层及沥青路面、混凝土路面拆除调整为机械拆除；</w:t>
      </w:r>
    </w:p>
    <w:p w14:paraId="13B344C1">
      <w:pPr>
        <w:pStyle w:val="3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仿宋_GB2312" w:hAnsi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cs="仿宋_GB2312"/>
          <w:color w:val="000000"/>
          <w:sz w:val="32"/>
          <w:szCs w:val="32"/>
        </w:rPr>
        <w:t>路灯基础拆除费用不计；</w:t>
      </w:r>
    </w:p>
    <w:p w14:paraId="3F01CEE5">
      <w:pPr>
        <w:pStyle w:val="3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仿宋_GB2312" w:hAnsi="仿宋_GB2312" w:cs="仿宋_GB2312"/>
          <w:color w:val="000000"/>
          <w:sz w:val="32"/>
          <w:szCs w:val="32"/>
        </w:rPr>
      </w:pPr>
      <w:bookmarkStart w:id="37" w:name="_GoBack"/>
      <w:bookmarkEnd w:id="37"/>
      <w:r>
        <w:rPr>
          <w:rFonts w:hint="eastAsia" w:ascii="仿宋_GB2312" w:hAnsi="仿宋_GB2312" w:cs="仿宋_GB2312"/>
          <w:color w:val="000000"/>
          <w:sz w:val="32"/>
          <w:szCs w:val="32"/>
        </w:rPr>
        <w:t>不可预见费漏报，评审据实审增。</w:t>
      </w:r>
    </w:p>
    <w:p w14:paraId="5A88D344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</w:rPr>
      </w:pPr>
      <w:bookmarkStart w:id="29" w:name="_Toc308870453_WPSOffice_Level1"/>
      <w:bookmarkStart w:id="30" w:name="_Toc1954155083_WPSOffice_Level1"/>
      <w:bookmarkStart w:id="31" w:name="_Toc545252939_WPSOffice_Level1"/>
      <w:bookmarkStart w:id="32" w:name="_Toc1156470918_WPSOffice_Level1"/>
      <w:r>
        <w:rPr>
          <w:rFonts w:hint="eastAsia" w:ascii="黑体" w:hAnsi="黑体" w:eastAsia="黑体" w:cs="黑体"/>
          <w:sz w:val="32"/>
          <w:szCs w:val="32"/>
        </w:rPr>
        <w:t>四、评审建议</w:t>
      </w:r>
      <w:bookmarkEnd w:id="29"/>
      <w:bookmarkEnd w:id="30"/>
      <w:bookmarkEnd w:id="31"/>
      <w:bookmarkEnd w:id="32"/>
    </w:p>
    <w:p w14:paraId="40F287A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因本次整改涉及到大面积人行道开挖，在路灯管线整改施工过程中应对现有强弱电管线做好保护，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因施工</w:t>
      </w:r>
      <w:r>
        <w:rPr>
          <w:rFonts w:hint="eastAsia" w:ascii="仿宋_GB2312" w:hAnsi="仿宋_GB2312" w:eastAsia="仿宋_GB2312" w:cs="仿宋_GB2312"/>
          <w:sz w:val="32"/>
          <w:szCs w:val="32"/>
        </w:rPr>
        <w:t>破坏造成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毁损修复责任自负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666739B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ascii="黑体" w:hAnsi="黑体" w:eastAsia="黑体" w:cs="黑体"/>
          <w:color w:val="000000"/>
          <w:sz w:val="32"/>
          <w:szCs w:val="32"/>
        </w:rPr>
      </w:pPr>
      <w:bookmarkStart w:id="33" w:name="_Toc669635750_WPSOffice_Level1"/>
      <w:bookmarkStart w:id="34" w:name="_Toc391484743_WPSOffice_Level1"/>
      <w:bookmarkStart w:id="35" w:name="_Toc340961487_WPSOffice_Level1"/>
      <w:bookmarkStart w:id="36" w:name="_Toc1244274959_WPSOffice_Level1"/>
      <w:r>
        <w:rPr>
          <w:rFonts w:hint="eastAsia" w:ascii="黑体" w:hAnsi="黑体" w:eastAsia="黑体" w:cs="黑体"/>
          <w:color w:val="000000"/>
          <w:sz w:val="32"/>
          <w:szCs w:val="32"/>
        </w:rPr>
        <w:t>五、有关事项说明</w:t>
      </w:r>
      <w:bookmarkEnd w:id="33"/>
      <w:bookmarkEnd w:id="34"/>
      <w:bookmarkEnd w:id="35"/>
      <w:bookmarkEnd w:id="36"/>
    </w:p>
    <w:p w14:paraId="211D0E79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本</w:t>
      </w:r>
      <w:r>
        <w:rPr>
          <w:rFonts w:hint="eastAsia" w:ascii="Times New Roman" w:hAnsi="Times New Roman" w:eastAsia="仿宋_GB2312"/>
          <w:sz w:val="32"/>
          <w:szCs w:val="32"/>
        </w:rPr>
        <w:t>评审结果是该项目财政预算控制上限，作为预算执行的重要依据，</w:t>
      </w:r>
      <w:r>
        <w:rPr>
          <w:rFonts w:hint="eastAsia" w:ascii="仿宋_GB2312" w:hAnsi="仿宋_GB2312" w:eastAsia="仿宋_GB2312" w:cs="仿宋_GB2312"/>
          <w:sz w:val="32"/>
          <w:szCs w:val="32"/>
        </w:rPr>
        <w:t>不作为招投标、政府采购、结算和决算的依据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。请</w:t>
      </w:r>
      <w:r>
        <w:rPr>
          <w:rFonts w:hint="eastAsia" w:ascii="Times New Roman" w:hAnsi="Times New Roman" w:eastAsia="仿宋_GB2312"/>
          <w:sz w:val="32"/>
          <w:szCs w:val="32"/>
        </w:rPr>
        <w:t>根据预算执行评审结果调整预算安排并指导相关部门严控预算执行，督促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项目单位严格遵守各项法律法规、财经纪律和财务管理制度。资金管理科室对预算评审类型和报告使用负责。</w:t>
      </w:r>
    </w:p>
    <w:p w14:paraId="5DF4315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 预算控制上限依据项目单位提供的施工方案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、预算书</w:t>
      </w:r>
      <w:r>
        <w:rPr>
          <w:rFonts w:hint="eastAsia" w:ascii="仿宋_GB2312" w:hAnsi="仿宋_GB2312" w:eastAsia="仿宋_GB2312" w:cs="仿宋_GB2312"/>
          <w:sz w:val="32"/>
          <w:szCs w:val="32"/>
        </w:rPr>
        <w:t>，参照相关法律法规、行业规范标准及市场询价结果出具。若因送审资料完整性不足、准确性欠缺等情形导致的偏差，相关责任由项目单位自行承担。</w:t>
      </w:r>
    </w:p>
    <w:p w14:paraId="37BC9488"/>
    <w:p w14:paraId="0C3CE68C">
      <w:pPr>
        <w:overflowPunct w:val="0"/>
        <w:ind w:firstLine="640" w:firstLineChars="200"/>
        <w:jc w:val="righ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40F7E138">
      <w:pPr>
        <w:overflowPunct w:val="0"/>
        <w:ind w:firstLine="640" w:firstLineChars="200"/>
        <w:jc w:val="righ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589AF4E7">
      <w:pPr>
        <w:overflowPunct w:val="0"/>
        <w:ind w:firstLine="640" w:firstLineChars="200"/>
        <w:jc w:val="righ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常德市财政局投资评审中心</w:t>
      </w:r>
    </w:p>
    <w:p w14:paraId="4BB23768">
      <w:pPr>
        <w:pStyle w:val="2"/>
        <w:wordWrap w:val="0"/>
        <w:spacing w:line="600" w:lineRule="exact"/>
        <w:ind w:left="5460" w:right="332" w:hanging="73"/>
        <w:jc w:val="right"/>
        <w:rPr>
          <w:rFonts w:ascii="Times New Roman" w:hAnsi="Times New Roma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202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</w:t>
      </w:r>
    </w:p>
    <w:p w14:paraId="1A3C169A">
      <w:pPr>
        <w:widowControl/>
        <w:jc w:val="left"/>
        <w:rPr>
          <w:rFonts w:ascii="仿宋_GB2312" w:eastAsia="仿宋_GB2312"/>
          <w:sz w:val="32"/>
          <w:szCs w:val="32"/>
        </w:rPr>
      </w:pPr>
    </w:p>
    <w:p w14:paraId="14A611B4">
      <w:pPr>
        <w:widowControl/>
        <w:jc w:val="left"/>
        <w:rPr>
          <w:rFonts w:ascii="仿宋_GB2312" w:eastAsia="仿宋_GB2312"/>
          <w:sz w:val="32"/>
          <w:szCs w:val="32"/>
        </w:rPr>
      </w:pPr>
    </w:p>
    <w:p w14:paraId="766C8BB9">
      <w:pPr>
        <w:pStyle w:val="2"/>
      </w:pPr>
    </w:p>
    <w:p w14:paraId="55F6D42C">
      <w:pPr>
        <w:pStyle w:val="2"/>
      </w:pPr>
    </w:p>
    <w:p w14:paraId="38D19725">
      <w:pPr>
        <w:pStyle w:val="2"/>
      </w:pPr>
    </w:p>
    <w:p w14:paraId="2CCC2778">
      <w:pPr>
        <w:pStyle w:val="2"/>
      </w:pPr>
    </w:p>
    <w:p w14:paraId="050A8AC3">
      <w:pPr>
        <w:pStyle w:val="2"/>
      </w:pPr>
    </w:p>
    <w:p w14:paraId="64E8D214">
      <w:pPr>
        <w:pStyle w:val="2"/>
      </w:pPr>
    </w:p>
    <w:p w14:paraId="1A68EBB3">
      <w:pPr>
        <w:pStyle w:val="2"/>
      </w:pPr>
    </w:p>
    <w:p w14:paraId="5101977A">
      <w:pPr>
        <w:pStyle w:val="2"/>
      </w:pPr>
    </w:p>
    <w:p w14:paraId="0D086207">
      <w:pPr>
        <w:pStyle w:val="2"/>
      </w:pPr>
    </w:p>
    <w:p w14:paraId="7BD5DF56">
      <w:pPr>
        <w:pStyle w:val="2"/>
      </w:pPr>
    </w:p>
    <w:p w14:paraId="6A71C164">
      <w:pPr>
        <w:pStyle w:val="2"/>
      </w:pPr>
    </w:p>
    <w:p w14:paraId="3B980F7E">
      <w:pPr>
        <w:pStyle w:val="2"/>
      </w:pPr>
    </w:p>
    <w:p w14:paraId="5C3AF378">
      <w:pPr>
        <w:pStyle w:val="2"/>
      </w:pPr>
    </w:p>
    <w:p w14:paraId="20F9B298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附表</w:t>
      </w:r>
    </w:p>
    <w:tbl>
      <w:tblPr>
        <w:tblStyle w:val="21"/>
        <w:tblW w:w="910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2565"/>
        <w:gridCol w:w="1350"/>
        <w:gridCol w:w="1380"/>
        <w:gridCol w:w="1124"/>
        <w:gridCol w:w="406"/>
        <w:gridCol w:w="1636"/>
      </w:tblGrid>
      <w:tr w14:paraId="50BE73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9109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82706C">
            <w:pPr>
              <w:pStyle w:val="12"/>
              <w:spacing w:line="600" w:lineRule="exact"/>
              <w:jc w:val="center"/>
              <w:outlineLvl w:val="0"/>
              <w:rPr>
                <w:rFonts w:hint="eastAsia" w:ascii="宋体" w:hAnsi="宋体" w:eastAsia="宋体" w:cs="宋体"/>
                <w:bCs/>
                <w:sz w:val="44"/>
                <w:szCs w:val="4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44"/>
                <w:szCs w:val="44"/>
                <w:lang w:eastAsia="zh-CN"/>
              </w:rPr>
              <w:t>2025年江北城区路灯管线安全隐患整改项目</w:t>
            </w:r>
          </w:p>
          <w:p w14:paraId="4680A81E">
            <w:pPr>
              <w:pStyle w:val="12"/>
              <w:spacing w:line="600" w:lineRule="exact"/>
              <w:jc w:val="center"/>
              <w:outlineLvl w:val="0"/>
              <w:rPr>
                <w:rFonts w:ascii="宋体" w:hAnsi="宋体" w:cs="宋体"/>
                <w:kern w:val="0"/>
                <w:sz w:val="44"/>
                <w:szCs w:val="4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44"/>
                <w:szCs w:val="44"/>
                <w:lang w:eastAsia="zh-CN"/>
              </w:rPr>
              <w:t>预算</w:t>
            </w:r>
            <w:r>
              <w:rPr>
                <w:rFonts w:hint="eastAsia" w:ascii="宋体" w:hAnsi="宋体" w:eastAsia="宋体" w:cs="宋体"/>
                <w:color w:val="000000"/>
                <w:sz w:val="44"/>
                <w:lang w:eastAsia="zh-CN"/>
              </w:rPr>
              <w:t>执行评审汇总表</w:t>
            </w:r>
          </w:p>
        </w:tc>
      </w:tr>
      <w:tr w14:paraId="0CDC4B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06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74C319">
            <w:pPr>
              <w:jc w:val="left"/>
              <w:rPr>
                <w:rFonts w:ascii="仿宋_GB2312" w:hAnsi="仿宋_GB2312" w:eastAsia="仿宋_GB2312" w:cs="仿宋_GB2312"/>
                <w:sz w:val="28"/>
                <w:szCs w:val="28"/>
                <w:u w:val="single"/>
              </w:rPr>
            </w:pPr>
          </w:p>
        </w:tc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D582B">
            <w:pPr>
              <w:widowControl/>
              <w:jc w:val="right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金额单位：元</w:t>
            </w:r>
          </w:p>
        </w:tc>
      </w:tr>
      <w:tr w14:paraId="1CF1914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  <w:jc w:val="center"/>
        </w:trPr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4589D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C57AE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评审内容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09F27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送审金额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A7E905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审定金额</w:t>
            </w:r>
          </w:p>
        </w:tc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A32F3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审减金额</w:t>
            </w:r>
          </w:p>
        </w:tc>
        <w:tc>
          <w:tcPr>
            <w:tcW w:w="1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575F5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备  注</w:t>
            </w:r>
          </w:p>
        </w:tc>
      </w:tr>
      <w:tr w14:paraId="72BA71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02B2F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>一</w:t>
            </w:r>
          </w:p>
        </w:tc>
        <w:tc>
          <w:tcPr>
            <w:tcW w:w="25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659FB6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>工程费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ACE9D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 xml:space="preserve">1808734 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9416C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 xml:space="preserve">1640111 </w:t>
            </w:r>
          </w:p>
        </w:tc>
        <w:tc>
          <w:tcPr>
            <w:tcW w:w="15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3AAE2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 xml:space="preserve">168623 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38E51E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4CB09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2731A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>二</w:t>
            </w:r>
          </w:p>
        </w:tc>
        <w:tc>
          <w:tcPr>
            <w:tcW w:w="25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26A0A8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>前期费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EE42B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 xml:space="preserve">56220 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835AA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 xml:space="preserve">48412 </w:t>
            </w:r>
          </w:p>
        </w:tc>
        <w:tc>
          <w:tcPr>
            <w:tcW w:w="15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39742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 xml:space="preserve">7808 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2A2B46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</w:tr>
      <w:tr w14:paraId="6753CC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3509A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880E7E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招标代理费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A0DCD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14529 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45724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13585 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3F15B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944 </w:t>
            </w:r>
          </w:p>
        </w:tc>
        <w:tc>
          <w:tcPr>
            <w:tcW w:w="1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31FA1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常财办发〔2024〕7号</w:t>
            </w:r>
          </w:p>
        </w:tc>
      </w:tr>
      <w:tr w14:paraId="15B4F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BC5B7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7CEB53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造价咨询费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5CB41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8863 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7556C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8037 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8FFA2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826 </w:t>
            </w:r>
          </w:p>
        </w:tc>
        <w:tc>
          <w:tcPr>
            <w:tcW w:w="1636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0B7B569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常财办发〔2017〕68号</w:t>
            </w:r>
          </w:p>
        </w:tc>
      </w:tr>
      <w:tr w14:paraId="506D68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49538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5D4BEE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监理费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36A0F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32829 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AADE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26791 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D626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6038 </w:t>
            </w:r>
          </w:p>
        </w:tc>
        <w:tc>
          <w:tcPr>
            <w:tcW w:w="163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352F8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1E4C83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30F48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>三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7E16FF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>不可预见费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45064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0FDE1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 xml:space="preserve">49203 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C7E69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 xml:space="preserve">-49203 </w:t>
            </w:r>
          </w:p>
        </w:tc>
        <w:tc>
          <w:tcPr>
            <w:tcW w:w="1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E5ADE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67F897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5F8AB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61A0A5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合  计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5CC2B1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 xml:space="preserve">1864954 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A5D7B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 xml:space="preserve">1737727 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526CE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 xml:space="preserve">127227 </w:t>
            </w:r>
          </w:p>
        </w:tc>
        <w:tc>
          <w:tcPr>
            <w:tcW w:w="1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282AA3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>6.82%</w:t>
            </w:r>
          </w:p>
        </w:tc>
      </w:tr>
    </w:tbl>
    <w:p w14:paraId="46B5160B"/>
    <w:sectPr>
      <w:pgSz w:w="11906" w:h="16838"/>
      <w:pgMar w:top="2154" w:right="1531" w:bottom="1440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A0586B"/>
    <w:multiLevelType w:val="singleLevel"/>
    <w:tmpl w:val="8BA0586B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C95"/>
    <w:rsid w:val="00000756"/>
    <w:rsid w:val="00001E69"/>
    <w:rsid w:val="00047A38"/>
    <w:rsid w:val="00070F9E"/>
    <w:rsid w:val="00085B23"/>
    <w:rsid w:val="001215E9"/>
    <w:rsid w:val="00124BA6"/>
    <w:rsid w:val="00146D5F"/>
    <w:rsid w:val="001479F8"/>
    <w:rsid w:val="0019629D"/>
    <w:rsid w:val="001B5241"/>
    <w:rsid w:val="001D0A22"/>
    <w:rsid w:val="00211731"/>
    <w:rsid w:val="0021362D"/>
    <w:rsid w:val="00224739"/>
    <w:rsid w:val="002550DA"/>
    <w:rsid w:val="002831EC"/>
    <w:rsid w:val="002836F7"/>
    <w:rsid w:val="002910E0"/>
    <w:rsid w:val="00293F9D"/>
    <w:rsid w:val="002A76CD"/>
    <w:rsid w:val="0030666D"/>
    <w:rsid w:val="003459A7"/>
    <w:rsid w:val="00355006"/>
    <w:rsid w:val="003B1247"/>
    <w:rsid w:val="003C1927"/>
    <w:rsid w:val="003C5ADC"/>
    <w:rsid w:val="003E7F11"/>
    <w:rsid w:val="00402C3B"/>
    <w:rsid w:val="00405C8D"/>
    <w:rsid w:val="00423F06"/>
    <w:rsid w:val="00476095"/>
    <w:rsid w:val="00484DFC"/>
    <w:rsid w:val="004A70E5"/>
    <w:rsid w:val="004B2325"/>
    <w:rsid w:val="004D08C3"/>
    <w:rsid w:val="005278A7"/>
    <w:rsid w:val="00530125"/>
    <w:rsid w:val="00597761"/>
    <w:rsid w:val="005A1A13"/>
    <w:rsid w:val="005A2DA7"/>
    <w:rsid w:val="005C25C6"/>
    <w:rsid w:val="005D102E"/>
    <w:rsid w:val="005E03B0"/>
    <w:rsid w:val="005E5C99"/>
    <w:rsid w:val="00614B88"/>
    <w:rsid w:val="00617840"/>
    <w:rsid w:val="00630034"/>
    <w:rsid w:val="006365E1"/>
    <w:rsid w:val="00643849"/>
    <w:rsid w:val="006735FC"/>
    <w:rsid w:val="0068120E"/>
    <w:rsid w:val="00684E64"/>
    <w:rsid w:val="006908F6"/>
    <w:rsid w:val="006E4F77"/>
    <w:rsid w:val="006F4ED8"/>
    <w:rsid w:val="00722D8E"/>
    <w:rsid w:val="007674DA"/>
    <w:rsid w:val="00783187"/>
    <w:rsid w:val="00797138"/>
    <w:rsid w:val="007977F1"/>
    <w:rsid w:val="007B3C1D"/>
    <w:rsid w:val="007C58E3"/>
    <w:rsid w:val="008707C9"/>
    <w:rsid w:val="00885C95"/>
    <w:rsid w:val="008949B8"/>
    <w:rsid w:val="008B55F5"/>
    <w:rsid w:val="008C0B87"/>
    <w:rsid w:val="008C6E6E"/>
    <w:rsid w:val="008E5B8C"/>
    <w:rsid w:val="009071FD"/>
    <w:rsid w:val="00911482"/>
    <w:rsid w:val="00957E17"/>
    <w:rsid w:val="009729BD"/>
    <w:rsid w:val="00983433"/>
    <w:rsid w:val="00987E15"/>
    <w:rsid w:val="009A5363"/>
    <w:rsid w:val="009C212A"/>
    <w:rsid w:val="009D0076"/>
    <w:rsid w:val="009D294F"/>
    <w:rsid w:val="009E1678"/>
    <w:rsid w:val="009E3E4E"/>
    <w:rsid w:val="009E78B2"/>
    <w:rsid w:val="009F0C82"/>
    <w:rsid w:val="009F3207"/>
    <w:rsid w:val="00A20CF8"/>
    <w:rsid w:val="00A539F7"/>
    <w:rsid w:val="00A83634"/>
    <w:rsid w:val="00A97E3B"/>
    <w:rsid w:val="00AE318F"/>
    <w:rsid w:val="00AF11B0"/>
    <w:rsid w:val="00B10D36"/>
    <w:rsid w:val="00B131C8"/>
    <w:rsid w:val="00B13E31"/>
    <w:rsid w:val="00B21E71"/>
    <w:rsid w:val="00B57111"/>
    <w:rsid w:val="00B639CD"/>
    <w:rsid w:val="00B743AF"/>
    <w:rsid w:val="00B93D71"/>
    <w:rsid w:val="00B97A21"/>
    <w:rsid w:val="00BB045A"/>
    <w:rsid w:val="00BD2724"/>
    <w:rsid w:val="00BD3961"/>
    <w:rsid w:val="00BF1B1B"/>
    <w:rsid w:val="00C160E8"/>
    <w:rsid w:val="00C3151B"/>
    <w:rsid w:val="00C363A1"/>
    <w:rsid w:val="00C60121"/>
    <w:rsid w:val="00C810E0"/>
    <w:rsid w:val="00C879BE"/>
    <w:rsid w:val="00CA5754"/>
    <w:rsid w:val="00CB1008"/>
    <w:rsid w:val="00CB2A73"/>
    <w:rsid w:val="00CC1F81"/>
    <w:rsid w:val="00D40239"/>
    <w:rsid w:val="00D45129"/>
    <w:rsid w:val="00D505AA"/>
    <w:rsid w:val="00D62C9B"/>
    <w:rsid w:val="00D83731"/>
    <w:rsid w:val="00D90C0F"/>
    <w:rsid w:val="00DA4780"/>
    <w:rsid w:val="00DB1BF1"/>
    <w:rsid w:val="00DC5B21"/>
    <w:rsid w:val="00DC5B31"/>
    <w:rsid w:val="00DD2057"/>
    <w:rsid w:val="00DE41FE"/>
    <w:rsid w:val="00E202B2"/>
    <w:rsid w:val="00E254A1"/>
    <w:rsid w:val="00E66BB8"/>
    <w:rsid w:val="00E9313F"/>
    <w:rsid w:val="00EA0017"/>
    <w:rsid w:val="00EC598A"/>
    <w:rsid w:val="00ED1673"/>
    <w:rsid w:val="00EF03B1"/>
    <w:rsid w:val="00F36E1D"/>
    <w:rsid w:val="00F46681"/>
    <w:rsid w:val="00F67CB7"/>
    <w:rsid w:val="00F85FF3"/>
    <w:rsid w:val="00FE121F"/>
    <w:rsid w:val="00FE4C73"/>
    <w:rsid w:val="00FF293D"/>
    <w:rsid w:val="30E855F7"/>
    <w:rsid w:val="532E0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3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4">
    <w:name w:val="heading 2"/>
    <w:basedOn w:val="1"/>
    <w:next w:val="1"/>
    <w:link w:val="24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5">
    <w:name w:val="heading 3"/>
    <w:basedOn w:val="1"/>
    <w:next w:val="1"/>
    <w:link w:val="25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6">
    <w:name w:val="heading 4"/>
    <w:basedOn w:val="1"/>
    <w:next w:val="1"/>
    <w:link w:val="26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2F5597" w:themeColor="accent1" w:themeShade="BF"/>
      <w:sz w:val="28"/>
      <w:szCs w:val="28"/>
    </w:rPr>
  </w:style>
  <w:style w:type="paragraph" w:styleId="7">
    <w:name w:val="heading 5"/>
    <w:basedOn w:val="1"/>
    <w:next w:val="1"/>
    <w:link w:val="27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2F5597" w:themeColor="accent1" w:themeShade="BF"/>
      <w:sz w:val="24"/>
    </w:rPr>
  </w:style>
  <w:style w:type="paragraph" w:styleId="8">
    <w:name w:val="heading 6"/>
    <w:basedOn w:val="1"/>
    <w:next w:val="1"/>
    <w:link w:val="28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2F5597" w:themeColor="accent1" w:themeShade="BF"/>
      <w:sz w:val="24"/>
    </w:rPr>
  </w:style>
  <w:style w:type="paragraph" w:styleId="9">
    <w:name w:val="heading 7"/>
    <w:basedOn w:val="1"/>
    <w:next w:val="1"/>
    <w:link w:val="29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8"/>
    <w:basedOn w:val="1"/>
    <w:next w:val="1"/>
    <w:link w:val="30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1">
    <w:name w:val="heading 9"/>
    <w:basedOn w:val="1"/>
    <w:next w:val="1"/>
    <w:link w:val="31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41"/>
    <w:qFormat/>
    <w:uiPriority w:val="0"/>
    <w:pPr>
      <w:spacing w:line="588" w:lineRule="atLeast"/>
    </w:pPr>
    <w:rPr>
      <w:rFonts w:eastAsia="方正仿宋_GBK"/>
      <w:spacing w:val="6"/>
      <w:sz w:val="30"/>
      <w:szCs w:val="22"/>
    </w:rPr>
  </w:style>
  <w:style w:type="paragraph" w:styleId="12">
    <w:name w:val="Body Text"/>
    <w:basedOn w:val="1"/>
    <w:next w:val="13"/>
    <w:link w:val="42"/>
    <w:semiHidden/>
    <w:qFormat/>
    <w:uiPriority w:val="0"/>
    <w:rPr>
      <w:rFonts w:ascii="Arial" w:hAnsi="Arial" w:eastAsia="Arial" w:cs="Arial"/>
      <w:szCs w:val="21"/>
      <w:lang w:eastAsia="en-US"/>
    </w:rPr>
  </w:style>
  <w:style w:type="paragraph" w:styleId="13">
    <w:name w:val="toc 9"/>
    <w:basedOn w:val="1"/>
    <w:next w:val="1"/>
    <w:autoRedefine/>
    <w:semiHidden/>
    <w:unhideWhenUsed/>
    <w:uiPriority w:val="39"/>
    <w:pPr>
      <w:ind w:left="3360" w:leftChars="1600"/>
    </w:pPr>
  </w:style>
  <w:style w:type="paragraph" w:styleId="14">
    <w:name w:val="Body Text Indent"/>
    <w:basedOn w:val="1"/>
    <w:next w:val="15"/>
    <w:link w:val="43"/>
    <w:qFormat/>
    <w:uiPriority w:val="0"/>
    <w:pPr>
      <w:ind w:firstLine="600" w:firstLineChars="200"/>
    </w:pPr>
    <w:rPr>
      <w:rFonts w:eastAsia="仿宋_GB2312"/>
      <w:sz w:val="30"/>
    </w:rPr>
  </w:style>
  <w:style w:type="paragraph" w:styleId="15">
    <w:name w:val="envelope return"/>
    <w:basedOn w:val="1"/>
    <w:semiHidden/>
    <w:unhideWhenUsed/>
    <w:uiPriority w:val="99"/>
    <w:pPr>
      <w:snapToGrid w:val="0"/>
    </w:pPr>
    <w:rPr>
      <w:rFonts w:asciiTheme="majorHAnsi" w:hAnsiTheme="majorHAnsi" w:eastAsiaTheme="majorEastAsia" w:cstheme="majorBidi"/>
    </w:rPr>
  </w:style>
  <w:style w:type="paragraph" w:styleId="16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7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8">
    <w:name w:val="head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9">
    <w:name w:val="Subtitle"/>
    <w:basedOn w:val="1"/>
    <w:next w:val="1"/>
    <w:link w:val="33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0">
    <w:name w:val="Title"/>
    <w:basedOn w:val="1"/>
    <w:next w:val="1"/>
    <w:link w:val="32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3">
    <w:name w:val="标题 1 字符"/>
    <w:basedOn w:val="22"/>
    <w:link w:val="3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24">
    <w:name w:val="标题 2 字符"/>
    <w:basedOn w:val="22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5">
    <w:name w:val="标题 3 字符"/>
    <w:basedOn w:val="22"/>
    <w:link w:val="5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6">
    <w:name w:val="标题 4 字符"/>
    <w:basedOn w:val="22"/>
    <w:link w:val="6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7">
    <w:name w:val="标题 5 字符"/>
    <w:basedOn w:val="22"/>
    <w:link w:val="7"/>
    <w:semiHidden/>
    <w:qFormat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8">
    <w:name w:val="标题 6 字符"/>
    <w:basedOn w:val="22"/>
    <w:link w:val="8"/>
    <w:semiHidden/>
    <w:qFormat/>
    <w:uiPriority w:val="9"/>
    <w:rPr>
      <w:rFonts w:cstheme="majorBidi"/>
      <w:b/>
      <w:bCs/>
      <w:color w:val="2F5597" w:themeColor="accent1" w:themeShade="BF"/>
      <w:sz w:val="24"/>
      <w:szCs w:val="24"/>
    </w:rPr>
  </w:style>
  <w:style w:type="character" w:customStyle="1" w:styleId="29">
    <w:name w:val="标题 7 字符"/>
    <w:basedOn w:val="22"/>
    <w:link w:val="9"/>
    <w:semiHidden/>
    <w:qFormat/>
    <w:uiPriority w:val="9"/>
    <w:rPr>
      <w:rFonts w:cstheme="majorBidi"/>
      <w:b/>
      <w:bCs/>
      <w:color w:val="595959" w:themeColor="text1" w:themeTint="A6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0">
    <w:name w:val="标题 8 字符"/>
    <w:basedOn w:val="22"/>
    <w:link w:val="10"/>
    <w:semiHidden/>
    <w:qFormat/>
    <w:uiPriority w:val="9"/>
    <w:rPr>
      <w:rFonts w:cstheme="majorBidi"/>
      <w:color w:val="595959" w:themeColor="text1" w:themeTint="A6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1">
    <w:name w:val="标题 9 字符"/>
    <w:basedOn w:val="22"/>
    <w:link w:val="11"/>
    <w:semiHidden/>
    <w:qFormat/>
    <w:uiPriority w:val="9"/>
    <w:rPr>
      <w:rFonts w:eastAsiaTheme="majorEastAsia" w:cstheme="majorBidi"/>
      <w:color w:val="595959" w:themeColor="text1" w:themeTint="A6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2">
    <w:name w:val="标题 字符"/>
    <w:basedOn w:val="22"/>
    <w:link w:val="20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3">
    <w:name w:val="副标题 字符"/>
    <w:basedOn w:val="22"/>
    <w:link w:val="19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4">
    <w:name w:val="Quote"/>
    <w:basedOn w:val="1"/>
    <w:next w:val="1"/>
    <w:link w:val="35"/>
    <w:qFormat/>
    <w:uiPriority w:val="29"/>
    <w:pPr>
      <w:spacing w:before="160" w:after="160"/>
      <w:jc w:val="center"/>
    </w:pPr>
    <w:rPr>
      <w:rFonts w:ascii="Times New Roman" w:hAnsi="Times New Roman" w:eastAsia="仿宋_GB2312"/>
      <w:i/>
      <w:iCs/>
      <w:color w:val="404040" w:themeColor="text1" w:themeTint="BF"/>
      <w:sz w:val="24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5">
    <w:name w:val="引用 字符"/>
    <w:basedOn w:val="22"/>
    <w:link w:val="34"/>
    <w:qFormat/>
    <w:uiPriority w:val="29"/>
    <w:rPr>
      <w:rFonts w:ascii="Times New Roman" w:hAnsi="Times New Roman" w:eastAsia="仿宋_GB2312" w:cs="Times New Roman"/>
      <w:i/>
      <w:iCs/>
      <w:color w:val="404040" w:themeColor="text1" w:themeTint="BF"/>
      <w:sz w:val="24"/>
      <w:szCs w:val="24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6">
    <w:name w:val="List Paragraph"/>
    <w:basedOn w:val="1"/>
    <w:qFormat/>
    <w:uiPriority w:val="34"/>
    <w:pPr>
      <w:ind w:left="720"/>
      <w:contextualSpacing/>
    </w:pPr>
    <w:rPr>
      <w:rFonts w:ascii="Times New Roman" w:hAnsi="Times New Roman" w:eastAsia="仿宋_GB2312"/>
      <w:sz w:val="24"/>
    </w:rPr>
  </w:style>
  <w:style w:type="character" w:customStyle="1" w:styleId="37">
    <w:name w:val="Intense Emphasis"/>
    <w:basedOn w:val="22"/>
    <w:qFormat/>
    <w:uiPriority w:val="21"/>
    <w:rPr>
      <w:i/>
      <w:iCs/>
      <w:color w:val="2F5597" w:themeColor="accent1" w:themeShade="BF"/>
    </w:rPr>
  </w:style>
  <w:style w:type="paragraph" w:styleId="38">
    <w:name w:val="Intense Quote"/>
    <w:basedOn w:val="1"/>
    <w:next w:val="1"/>
    <w:link w:val="39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rFonts w:ascii="Times New Roman" w:hAnsi="Times New Roman" w:eastAsia="仿宋_GB2312"/>
      <w:i/>
      <w:iCs/>
      <w:color w:val="2F5597" w:themeColor="accent1" w:themeShade="BF"/>
      <w:sz w:val="24"/>
    </w:rPr>
  </w:style>
  <w:style w:type="character" w:customStyle="1" w:styleId="39">
    <w:name w:val="明显引用 字符"/>
    <w:basedOn w:val="22"/>
    <w:link w:val="38"/>
    <w:qFormat/>
    <w:uiPriority w:val="30"/>
    <w:rPr>
      <w:rFonts w:ascii="Times New Roman" w:hAnsi="Times New Roman" w:eastAsia="仿宋_GB2312" w:cs="Times New Roman"/>
      <w:i/>
      <w:iCs/>
      <w:color w:val="2F5597" w:themeColor="accent1" w:themeShade="BF"/>
      <w:sz w:val="24"/>
      <w:szCs w:val="24"/>
    </w:rPr>
  </w:style>
  <w:style w:type="character" w:customStyle="1" w:styleId="40">
    <w:name w:val="Intense Reference"/>
    <w:basedOn w:val="22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41">
    <w:name w:val="正文文本缩进 2 字符"/>
    <w:basedOn w:val="22"/>
    <w:link w:val="2"/>
    <w:qFormat/>
    <w:uiPriority w:val="0"/>
    <w:rPr>
      <w:rFonts w:ascii="Calibri" w:hAnsi="Calibri" w:eastAsia="方正仿宋_GBK" w:cs="Times New Roman"/>
      <w:spacing w:val="6"/>
      <w:sz w:val="30"/>
    </w:rPr>
  </w:style>
  <w:style w:type="character" w:customStyle="1" w:styleId="42">
    <w:name w:val="正文文本 字符"/>
    <w:basedOn w:val="22"/>
    <w:link w:val="12"/>
    <w:semiHidden/>
    <w:qFormat/>
    <w:uiPriority w:val="0"/>
    <w:rPr>
      <w:rFonts w:ascii="Arial" w:hAnsi="Arial" w:eastAsia="Arial" w:cs="Arial"/>
      <w:szCs w:val="21"/>
      <w:lang w:eastAsia="en-US"/>
    </w:rPr>
  </w:style>
  <w:style w:type="character" w:customStyle="1" w:styleId="43">
    <w:name w:val="正文文本缩进 字符"/>
    <w:basedOn w:val="22"/>
    <w:link w:val="14"/>
    <w:qFormat/>
    <w:uiPriority w:val="0"/>
    <w:rPr>
      <w:rFonts w:ascii="Calibri" w:hAnsi="Calibri" w:eastAsia="仿宋_GB2312" w:cs="Times New Roman"/>
      <w:sz w:val="30"/>
      <w:szCs w:val="24"/>
    </w:rPr>
  </w:style>
  <w:style w:type="character" w:customStyle="1" w:styleId="44">
    <w:name w:val="页眉 字符"/>
    <w:basedOn w:val="22"/>
    <w:link w:val="18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45">
    <w:name w:val="页脚 字符"/>
    <w:basedOn w:val="22"/>
    <w:link w:val="17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46">
    <w:name w:val="批注框文本 字符"/>
    <w:basedOn w:val="22"/>
    <w:link w:val="16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1293</Words>
  <Characters>1482</Characters>
  <Lines>11</Lines>
  <Paragraphs>3</Paragraphs>
  <TotalTime>511</TotalTime>
  <ScaleCrop>false</ScaleCrop>
  <LinksUpToDate>false</LinksUpToDate>
  <CharactersWithSpaces>1515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2025-11-11T09:05:00Z</dcterms:created>
  <dc:creator>v</dc:creator>
  <cp:lastModifiedBy>～小太阳。</cp:lastModifiedBy>
  <cp:lastPrinted>2026-01-19T03:17:00Z</cp:lastPrinted>
  <dcterms:modified xsi:type="dcterms:W3CDTF">2026-01-20T02:34:42Z</dcterms:modified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eyJoZGlkIjoiN2JhZWQ5OTNmMDkxZjMwYjU4ZmUwNzc3NTdiZGUwY2IiLCJ1c2VySWQiOiIxMDc2NTE4NzkzIn0=</vt:lpwstr>
  </property>
  <property fmtid="{D5CDD505-2E9C-101B-9397-08002B2CF9AE}" pid="3" name="KSOProductBuildVer">
    <vt:lpwstr>2052-12.1.0.24657</vt:lpwstr>
  </property>
  <property fmtid="{D5CDD505-2E9C-101B-9397-08002B2CF9AE}" pid="4" name="ICV">
    <vt:lpwstr>FC8F4FEB128C4AC5B0F606D93D312502_12</vt:lpwstr>
  </property>
</Properties>
</file>