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10CDA">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rPr>
          <w:rFonts w:ascii="Times New Roman" w:hAnsi="Times New Roman" w:eastAsia="方正小标宋_GBK" w:cs="Times New Roman"/>
          <w:color w:val="000000"/>
          <w:sz w:val="44"/>
          <w:lang w:eastAsia="zh-CN"/>
        </w:rPr>
      </w:pPr>
      <w:bookmarkStart w:id="0" w:name="_Toc1670908148_WPSOffice_Level1"/>
      <w:bookmarkStart w:id="1" w:name="_Toc2123423747_WPSOffice_Level1"/>
      <w:bookmarkStart w:id="2" w:name="_Toc178124550_WPSOffice_Level1"/>
      <w:bookmarkStart w:id="3" w:name="_Toc678217306_WPSOffice_Level1"/>
    </w:p>
    <w:p w14:paraId="27A09443">
      <w:pPr>
        <w:pStyle w:val="1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0"/>
      </w:pPr>
    </w:p>
    <w:p w14:paraId="00416D0F">
      <w:pPr>
        <w:pStyle w:val="13"/>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05D6FB31">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035FA12D">
      <w:pPr>
        <w:pStyle w:val="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0636047C">
      <w:pPr>
        <w:pStyle w:val="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1A52F594">
      <w:pPr>
        <w:pStyle w:val="2"/>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pPr>
    </w:p>
    <w:p w14:paraId="4EC6D649">
      <w:pPr>
        <w:spacing w:line="600" w:lineRule="exact"/>
        <w:jc w:val="center"/>
        <w:rPr>
          <w:rFonts w:ascii="仿宋_GB2312" w:eastAsia="仿宋_GB2312"/>
          <w:sz w:val="32"/>
        </w:rPr>
      </w:pPr>
      <w:r>
        <w:rPr>
          <w:rFonts w:hint="eastAsia" w:ascii="仿宋_GB2312" w:eastAsia="仿宋_GB2312"/>
          <w:sz w:val="32"/>
        </w:rPr>
        <w:t>常财审</w:t>
      </w:r>
      <w:r>
        <w:rPr>
          <w:rFonts w:hint="eastAsia" w:ascii="仿宋_GB2312" w:hAnsi="仿宋_GB2312" w:eastAsia="仿宋_GB2312"/>
          <w:sz w:val="32"/>
        </w:rPr>
        <w:t>〔2026〕预</w:t>
      </w:r>
      <w:r>
        <w:rPr>
          <w:rFonts w:hint="eastAsia" w:ascii="仿宋_GB2312" w:eastAsia="仿宋_GB2312"/>
          <w:sz w:val="32"/>
        </w:rPr>
        <w:t>字</w:t>
      </w:r>
      <w:r>
        <w:rPr>
          <w:rFonts w:hint="eastAsia" w:ascii="仿宋_GB2312" w:eastAsia="仿宋_GB2312"/>
          <w:sz w:val="32"/>
          <w:lang w:val="en-US" w:eastAsia="zh-CN"/>
        </w:rPr>
        <w:t>5</w:t>
      </w:r>
      <w:r>
        <w:rPr>
          <w:rFonts w:hint="eastAsia" w:ascii="仿宋_GB2312" w:eastAsia="仿宋_GB2312"/>
          <w:sz w:val="32"/>
        </w:rPr>
        <w:t>号</w:t>
      </w:r>
    </w:p>
    <w:p w14:paraId="27ED1EE4">
      <w:pPr>
        <w:pStyle w:val="12"/>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ascii="Times New Roman" w:hAnsi="Times New Roman" w:eastAsia="方正小标宋_GBK" w:cs="Times New Roman"/>
          <w:color w:val="000000"/>
          <w:sz w:val="44"/>
          <w:lang w:eastAsia="zh-CN"/>
        </w:rPr>
      </w:pPr>
    </w:p>
    <w:p w14:paraId="5BEFF15D">
      <w:pPr>
        <w:pStyle w:val="12"/>
        <w:spacing w:line="600" w:lineRule="exact"/>
        <w:jc w:val="center"/>
        <w:outlineLvl w:val="0"/>
        <w:rPr>
          <w:rFonts w:hint="eastAsia" w:ascii="宋体" w:hAnsi="宋体" w:eastAsia="宋体" w:cs="宋体"/>
          <w:color w:val="000000"/>
          <w:sz w:val="44"/>
          <w:lang w:eastAsia="zh-CN"/>
        </w:rPr>
      </w:pPr>
      <w:r>
        <w:rPr>
          <w:rFonts w:hint="eastAsia" w:ascii="宋体" w:hAnsi="宋体" w:eastAsia="宋体" w:cs="宋体"/>
          <w:color w:val="000000"/>
          <w:sz w:val="44"/>
          <w:lang w:eastAsia="zh-CN"/>
        </w:rPr>
        <w:t>关于2025年管网及设备改造工程</w:t>
      </w:r>
    </w:p>
    <w:p w14:paraId="352A6C43">
      <w:pPr>
        <w:pStyle w:val="12"/>
        <w:spacing w:line="600" w:lineRule="exact"/>
        <w:jc w:val="center"/>
        <w:outlineLvl w:val="0"/>
        <w:rPr>
          <w:rFonts w:hint="eastAsia" w:ascii="宋体" w:hAnsi="宋体" w:eastAsia="宋体" w:cs="宋体"/>
          <w:color w:val="000000"/>
          <w:sz w:val="44"/>
          <w:lang w:eastAsia="zh-CN"/>
        </w:rPr>
      </w:pPr>
      <w:r>
        <w:rPr>
          <w:rFonts w:hint="eastAsia" w:ascii="宋体" w:hAnsi="宋体" w:eastAsia="宋体" w:cs="宋体"/>
          <w:color w:val="000000"/>
          <w:sz w:val="44"/>
          <w:lang w:eastAsia="zh-CN"/>
        </w:rPr>
        <w:t>预算执行的</w:t>
      </w:r>
      <w:bookmarkEnd w:id="0"/>
      <w:bookmarkEnd w:id="1"/>
      <w:bookmarkEnd w:id="2"/>
      <w:bookmarkEnd w:id="3"/>
      <w:r>
        <w:rPr>
          <w:rFonts w:hint="eastAsia" w:ascii="宋体" w:hAnsi="宋体" w:eastAsia="宋体" w:cs="宋体"/>
          <w:color w:val="000000"/>
          <w:sz w:val="44"/>
          <w:lang w:eastAsia="zh-CN"/>
        </w:rPr>
        <w:t>评审报告</w:t>
      </w:r>
    </w:p>
    <w:p w14:paraId="37880DBF">
      <w:pPr>
        <w:spacing w:line="600" w:lineRule="exact"/>
        <w:ind w:firstLine="640" w:firstLineChars="200"/>
        <w:rPr>
          <w:rFonts w:ascii="Times New Roman" w:hAnsi="Times New Roman" w:eastAsia="仿宋_GB2312"/>
          <w:color w:val="000000"/>
          <w:sz w:val="32"/>
          <w:szCs w:val="32"/>
        </w:rPr>
      </w:pPr>
    </w:p>
    <w:p w14:paraId="79843632">
      <w:pPr>
        <w:overflowPunct w:val="0"/>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w:t>常德市财政局经济建设科</w:t>
      </w:r>
      <w:r>
        <w:rPr>
          <w:rFonts w:hint="eastAsia" w:ascii="仿宋_GB2312" w:hAnsi="仿宋_GB2312" w:eastAsia="仿宋_GB2312" w:cs="仿宋_GB2312"/>
          <w:color w:val="000000"/>
          <w:sz w:val="32"/>
          <w:szCs w:val="32"/>
        </w:rPr>
        <w:t>：</w:t>
      </w:r>
    </w:p>
    <w:p w14:paraId="602005E3">
      <w:pPr>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2025年管网及设备改造工程</w:t>
      </w:r>
      <w:r>
        <w:rPr>
          <w:rFonts w:hint="eastAsia" w:ascii="仿宋_GB2312" w:hAnsi="仿宋_GB2312" w:eastAsia="仿宋_GB2312" w:cs="仿宋_GB2312"/>
          <w:color w:val="000000"/>
          <w:sz w:val="32"/>
          <w:szCs w:val="32"/>
        </w:rPr>
        <w:t>》相关资料收悉，按照客观、公正、科学的评审原则，我中心组织对该工程开展预算执行评审，具体情况如下：</w:t>
      </w:r>
    </w:p>
    <w:p w14:paraId="478EBAB1">
      <w:pPr>
        <w:pStyle w:val="14"/>
        <w:keepNext w:val="0"/>
        <w:keepLines w:val="0"/>
        <w:pageBreakBefore w:val="0"/>
        <w:widowControl w:val="0"/>
        <w:tabs>
          <w:tab w:val="left" w:pos="6266"/>
        </w:tabs>
        <w:kinsoku/>
        <w:wordWrap/>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color w:val="000000"/>
          <w:sz w:val="32"/>
          <w:szCs w:val="32"/>
        </w:rPr>
      </w:pPr>
      <w:bookmarkStart w:id="4" w:name="_Toc215626143_WPSOffice_Level1"/>
      <w:bookmarkStart w:id="5" w:name="_Toc445877422_WPSOffice_Level1"/>
      <w:bookmarkStart w:id="6" w:name="_Toc1862220243_WPSOffice_Level1"/>
      <w:bookmarkStart w:id="7" w:name="_Toc891472834_WPSOffice_Level1"/>
      <w:r>
        <w:rPr>
          <w:rFonts w:hint="eastAsia" w:ascii="黑体" w:hAnsi="黑体" w:eastAsia="黑体" w:cs="黑体"/>
          <w:color w:val="000000"/>
          <w:sz w:val="32"/>
          <w:szCs w:val="32"/>
        </w:rPr>
        <w:t>一、项目概况</w:t>
      </w:r>
      <w:bookmarkEnd w:id="4"/>
      <w:bookmarkEnd w:id="5"/>
      <w:bookmarkEnd w:id="6"/>
      <w:bookmarkEnd w:id="7"/>
    </w:p>
    <w:p w14:paraId="499D015A">
      <w:pPr>
        <w:keepNext w:val="0"/>
        <w:keepLines w:val="0"/>
        <w:pageBreakBefore w:val="0"/>
        <w:widowControl w:val="0"/>
        <w:kinsoku/>
        <w:wordWrap/>
        <w:topLinePunct w:val="0"/>
        <w:autoSpaceDE/>
        <w:autoSpaceDN/>
        <w:bidi w:val="0"/>
        <w:adjustRightInd/>
        <w:snapToGrid/>
        <w:spacing w:line="560" w:lineRule="exact"/>
        <w:ind w:left="0" w:firstLine="640" w:firstLineChars="200"/>
        <w:textAlignment w:val="auto"/>
        <w:outlineLvl w:val="1"/>
        <w:rPr>
          <w:rFonts w:ascii="Times New Roman" w:hAnsi="Times New Roman" w:eastAsia="楷体_GB2312"/>
          <w:b w:val="0"/>
          <w:bCs w:val="0"/>
          <w:sz w:val="32"/>
          <w:szCs w:val="32"/>
        </w:rPr>
      </w:pPr>
      <w:bookmarkStart w:id="8" w:name="_Toc1067922961_WPSOffice_Level2"/>
      <w:bookmarkStart w:id="9" w:name="_Toc222933592_WPSOffice_Level2"/>
      <w:bookmarkStart w:id="10" w:name="_Toc90632560_WPSOffice_Level2"/>
      <w:bookmarkStart w:id="11" w:name="_Toc472741964_WPSOffice_Level2"/>
      <w:r>
        <w:rPr>
          <w:rFonts w:ascii="Times New Roman" w:hAnsi="Times New Roman" w:eastAsia="楷体_GB2312"/>
          <w:b w:val="0"/>
          <w:bCs w:val="0"/>
          <w:sz w:val="32"/>
          <w:szCs w:val="32"/>
        </w:rPr>
        <w:t>（一）项目基本情况</w:t>
      </w:r>
      <w:bookmarkEnd w:id="8"/>
      <w:bookmarkEnd w:id="9"/>
      <w:bookmarkEnd w:id="10"/>
      <w:bookmarkEnd w:id="11"/>
    </w:p>
    <w:p w14:paraId="2749A680">
      <w:pPr>
        <w:keepNext w:val="0"/>
        <w:keepLines w:val="0"/>
        <w:pageBreakBefore w:val="0"/>
        <w:widowControl w:val="0"/>
        <w:kinsoku/>
        <w:wordWrap/>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sz w:val="32"/>
          <w:szCs w:val="32"/>
          <w:highlight w:val="yellow"/>
        </w:rPr>
      </w:pPr>
      <w:r>
        <w:rPr>
          <w:rFonts w:hint="eastAsia" w:ascii="仿宋_GB2312" w:hAnsi="仿宋_GB2312" w:eastAsia="仿宋_GB2312" w:cs="仿宋_GB2312"/>
          <w:color w:val="000000"/>
          <w:sz w:val="32"/>
          <w:szCs w:val="32"/>
        </w:rPr>
        <w:t>工程根据常德市房和城乡建设局《关于2025年江北城区市政设施维修改造项目专项资金细化项目的相关请示》（常建〔2024〕103号），属于2025年江北城区市政设施维修改造项目内容之一。</w:t>
      </w:r>
    </w:p>
    <w:p w14:paraId="4CF99AFD">
      <w:pPr>
        <w:keepNext w:val="0"/>
        <w:keepLines w:val="0"/>
        <w:pageBreakBefore w:val="0"/>
        <w:widowControl w:val="0"/>
        <w:kinsoku/>
        <w:wordWrap/>
        <w:topLinePunct w:val="0"/>
        <w:autoSpaceDE/>
        <w:autoSpaceDN/>
        <w:bidi w:val="0"/>
        <w:adjustRightInd/>
        <w:snapToGrid/>
        <w:spacing w:line="560" w:lineRule="exact"/>
        <w:ind w:left="0" w:firstLine="640" w:firstLineChars="200"/>
        <w:textAlignment w:val="auto"/>
        <w:outlineLvl w:val="1"/>
        <w:rPr>
          <w:rFonts w:ascii="Times New Roman" w:hAnsi="Times New Roman" w:eastAsia="楷体_GB2312"/>
          <w:b w:val="0"/>
          <w:bCs w:val="0"/>
          <w:sz w:val="32"/>
          <w:szCs w:val="32"/>
        </w:rPr>
      </w:pPr>
      <w:bookmarkStart w:id="12" w:name="_Toc1094448419_WPSOffice_Level2"/>
      <w:bookmarkStart w:id="13" w:name="_Toc1446308865_WPSOffice_Level2"/>
      <w:bookmarkStart w:id="14" w:name="_Toc830963703_WPSOffice_Level2"/>
      <w:bookmarkStart w:id="15" w:name="_Toc1069041809_WPSOffice_Level2"/>
    </w:p>
    <w:p w14:paraId="4F8536F2">
      <w:pPr>
        <w:keepNext w:val="0"/>
        <w:keepLines w:val="0"/>
        <w:pageBreakBefore w:val="0"/>
        <w:widowControl w:val="0"/>
        <w:kinsoku/>
        <w:wordWrap/>
        <w:topLinePunct w:val="0"/>
        <w:autoSpaceDE/>
        <w:autoSpaceDN/>
        <w:bidi w:val="0"/>
        <w:adjustRightInd/>
        <w:snapToGrid/>
        <w:spacing w:line="560" w:lineRule="exact"/>
        <w:ind w:left="0" w:firstLine="640" w:firstLineChars="200"/>
        <w:textAlignment w:val="auto"/>
        <w:outlineLvl w:val="1"/>
        <w:rPr>
          <w:rFonts w:ascii="Times New Roman" w:hAnsi="Times New Roman" w:eastAsia="楷体_GB2312"/>
          <w:b w:val="0"/>
          <w:bCs w:val="0"/>
          <w:sz w:val="32"/>
          <w:szCs w:val="32"/>
        </w:rPr>
      </w:pPr>
      <w:r>
        <w:rPr>
          <w:rFonts w:ascii="Times New Roman" w:hAnsi="Times New Roman" w:eastAsia="楷体_GB2312"/>
          <w:b w:val="0"/>
          <w:bCs w:val="0"/>
          <w:sz w:val="32"/>
          <w:szCs w:val="32"/>
        </w:rPr>
        <w:t>（二）项目主要内容及申报预算情况</w:t>
      </w:r>
      <w:bookmarkEnd w:id="12"/>
      <w:bookmarkEnd w:id="13"/>
      <w:bookmarkEnd w:id="14"/>
      <w:bookmarkEnd w:id="15"/>
    </w:p>
    <w:p w14:paraId="6932A19D">
      <w:pPr>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（1）聚宝雨水泵站生态滤池主出水管改造工程：安装DN600出水管、检查井改造、回填土及植物恢复等。计划资金18万元；</w:t>
      </w:r>
    </w:p>
    <w:p w14:paraId="77E93908">
      <w:pPr>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东溪路污水管渗漏整改及金牛路污水外段植草沟整改项目：对东溪路辅道渗漏污水管及污水检查井进行改造；对金牛路沾天湖北环路口西南角污水外冒处不渗水段植草沟及堵塞管道等进行改造。计划资金30万元；</w:t>
      </w:r>
    </w:p>
    <w:p w14:paraId="0E35B847">
      <w:pPr>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（3）驮古堤雨水泵站设备改造：拆除现有老旧立式轴流泵，更换为2台700QZ6000-6.5-160潜水轴流泵（160千瓦），配套三通井筒及控制柜等。计划资金64万元。</w:t>
      </w:r>
    </w:p>
    <w:p w14:paraId="56ED41FE">
      <w:pPr>
        <w:pStyle w:val="14"/>
        <w:keepNext w:val="0"/>
        <w:keepLines w:val="0"/>
        <w:pageBreakBefore w:val="0"/>
        <w:widowControl w:val="0"/>
        <w:tabs>
          <w:tab w:val="left" w:pos="6266"/>
        </w:tabs>
        <w:kinsoku/>
        <w:wordWrap/>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color w:val="000000"/>
          <w:sz w:val="32"/>
          <w:szCs w:val="32"/>
        </w:rPr>
      </w:pPr>
      <w:bookmarkStart w:id="16" w:name="_Toc976241670_WPSOffice_Level1"/>
      <w:bookmarkStart w:id="17" w:name="_Toc581615128_WPSOffice_Level1"/>
      <w:bookmarkStart w:id="18" w:name="_Toc182692291_WPSOffice_Level1"/>
      <w:bookmarkStart w:id="19" w:name="_Toc1890145904_WPSOffice_Level1"/>
      <w:r>
        <w:rPr>
          <w:rFonts w:hint="eastAsia" w:ascii="黑体" w:hAnsi="黑体" w:eastAsia="黑体" w:cs="黑体"/>
          <w:color w:val="000000"/>
          <w:sz w:val="32"/>
          <w:szCs w:val="32"/>
        </w:rPr>
        <w:t>二、评审依据</w:t>
      </w:r>
      <w:bookmarkEnd w:id="16"/>
      <w:bookmarkEnd w:id="17"/>
      <w:bookmarkEnd w:id="18"/>
      <w:bookmarkEnd w:id="19"/>
    </w:p>
    <w:p w14:paraId="67099E57">
      <w:pPr>
        <w:pStyle w:val="35"/>
        <w:keepNext w:val="0"/>
        <w:keepLines w:val="0"/>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sz w:val="32"/>
          <w:szCs w:val="32"/>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cs="仿宋_GB2312"/>
          <w:kern w:val="2"/>
          <w:sz w:val="32"/>
          <w:szCs w:val="32"/>
          <w:lang w:val="en-US" w:eastAsia="zh-CN" w:bidi="ar-SA"/>
        </w:rPr>
        <w:t xml:space="preserve"> </w:t>
      </w:r>
      <w:r>
        <w:rPr>
          <w:rFonts w:hint="eastAsia" w:ascii="仿宋_GB2312" w:hAnsi="仿宋_GB2312" w:cs="仿宋_GB2312"/>
          <w:sz w:val="32"/>
          <w:szCs w:val="32"/>
        </w:rPr>
        <w:t>《中华人民共和国预算法》《中华人民共和国预算法实施条例》</w:t>
      </w:r>
      <w:r>
        <w:rPr>
          <w:rFonts w:hint="eastAsia" w:ascii="仿宋_GB2312" w:hAnsi="仿宋_GB2312" w:cs="仿宋_GB2312"/>
          <w:bCs/>
          <w:sz w:val="32"/>
          <w:szCs w:val="32"/>
        </w:rPr>
        <w:t>等法律法规。</w:t>
      </w:r>
    </w:p>
    <w:p w14:paraId="016BF95F">
      <w:pPr>
        <w:pStyle w:val="35"/>
        <w:keepNext w:val="0"/>
        <w:keepLines w:val="0"/>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2.</w:t>
      </w:r>
      <w:r>
        <w:rPr>
          <w:rFonts w:hint="eastAsia" w:ascii="仿宋_GB2312" w:hAnsi="仿宋_GB2312" w:cs="仿宋_GB2312"/>
          <w:color w:val="000000"/>
          <w:kern w:val="2"/>
          <w:sz w:val="32"/>
          <w:szCs w:val="32"/>
          <w:lang w:val="en-US" w:eastAsia="zh-CN" w:bidi="ar-SA"/>
        </w:rPr>
        <w:t xml:space="preserve"> </w:t>
      </w:r>
      <w:r>
        <w:rPr>
          <w:rFonts w:hint="eastAsia" w:ascii="仿宋_GB2312" w:hAnsi="仿宋_GB2312" w:cs="仿宋_GB2312"/>
          <w:sz w:val="32"/>
          <w:szCs w:val="32"/>
        </w:rPr>
        <w:t>湖南省住房和城乡建设厅《关于执行&lt;建设工程工程量清单计价标准&gt;及配套工程量计算标准的通知》（湘建科函〔</w:t>
      </w:r>
      <w:r>
        <w:rPr>
          <w:rFonts w:ascii="仿宋_GB2312" w:hAnsi="仿宋_GB2312" w:cs="仿宋_GB2312"/>
          <w:sz w:val="32"/>
          <w:szCs w:val="32"/>
        </w:rPr>
        <w:t>2025</w:t>
      </w:r>
      <w:r>
        <w:rPr>
          <w:rFonts w:hint="eastAsia" w:ascii="仿宋_GB2312" w:hAnsi="仿宋_GB2312" w:cs="仿宋_GB2312"/>
          <w:sz w:val="32"/>
          <w:szCs w:val="32"/>
        </w:rPr>
        <w:t>〕</w:t>
      </w:r>
      <w:r>
        <w:rPr>
          <w:rFonts w:ascii="仿宋_GB2312" w:hAnsi="仿宋_GB2312" w:cs="仿宋_GB2312"/>
          <w:sz w:val="32"/>
          <w:szCs w:val="32"/>
        </w:rPr>
        <w:t>15</w:t>
      </w:r>
      <w:r>
        <w:rPr>
          <w:rFonts w:hint="eastAsia" w:ascii="仿宋_GB2312" w:hAnsi="仿宋_GB2312" w:cs="仿宋_GB2312"/>
          <w:sz w:val="32"/>
          <w:szCs w:val="32"/>
        </w:rPr>
        <w:t>0号）。</w:t>
      </w:r>
    </w:p>
    <w:p w14:paraId="770C4D1D">
      <w:pPr>
        <w:pStyle w:val="35"/>
        <w:keepNext w:val="0"/>
        <w:keepLines w:val="0"/>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3.</w:t>
      </w:r>
      <w:r>
        <w:rPr>
          <w:rFonts w:hint="eastAsia" w:ascii="仿宋_GB2312" w:hAnsi="仿宋_GB2312" w:cs="仿宋_GB2312"/>
          <w:color w:val="000000"/>
          <w:kern w:val="2"/>
          <w:sz w:val="32"/>
          <w:szCs w:val="32"/>
          <w:lang w:val="en-US" w:eastAsia="zh-CN" w:bidi="ar-SA"/>
        </w:rPr>
        <w:t xml:space="preserve"> </w:t>
      </w:r>
      <w:r>
        <w:rPr>
          <w:rFonts w:hint="eastAsia" w:ascii="仿宋_GB2312" w:hAnsi="仿宋_GB2312" w:cs="仿宋_GB2312"/>
          <w:sz w:val="32"/>
          <w:szCs w:val="32"/>
        </w:rPr>
        <w:t>湖南省住房和城乡建设厅《关于发布</w:t>
      </w:r>
      <w:r>
        <w:rPr>
          <w:rFonts w:ascii="仿宋_GB2312" w:hAnsi="仿宋_GB2312" w:cs="仿宋_GB2312"/>
          <w:sz w:val="32"/>
          <w:szCs w:val="32"/>
        </w:rPr>
        <w:t>2025</w:t>
      </w:r>
      <w:r>
        <w:rPr>
          <w:rFonts w:hint="eastAsia" w:ascii="仿宋_GB2312" w:hAnsi="仿宋_GB2312" w:cs="仿宋_GB2312"/>
          <w:sz w:val="32"/>
          <w:szCs w:val="32"/>
        </w:rPr>
        <w:t>&lt;湖南省建设工程消耗量标准&gt;的通知》（湘建科函〔</w:t>
      </w:r>
      <w:r>
        <w:rPr>
          <w:rFonts w:ascii="仿宋_GB2312" w:hAnsi="仿宋_GB2312" w:cs="仿宋_GB2312"/>
          <w:sz w:val="32"/>
          <w:szCs w:val="32"/>
        </w:rPr>
        <w:t>2025</w:t>
      </w:r>
      <w:r>
        <w:rPr>
          <w:rFonts w:hint="eastAsia" w:ascii="仿宋_GB2312" w:hAnsi="仿宋_GB2312" w:cs="仿宋_GB2312"/>
          <w:sz w:val="32"/>
          <w:szCs w:val="32"/>
        </w:rPr>
        <w:t>〕</w:t>
      </w:r>
      <w:r>
        <w:rPr>
          <w:rFonts w:ascii="仿宋_GB2312" w:hAnsi="仿宋_GB2312" w:cs="仿宋_GB2312"/>
          <w:sz w:val="32"/>
          <w:szCs w:val="32"/>
        </w:rPr>
        <w:t>151</w:t>
      </w:r>
      <w:r>
        <w:rPr>
          <w:rFonts w:hint="eastAsia" w:ascii="仿宋_GB2312" w:hAnsi="仿宋_GB2312" w:cs="仿宋_GB2312"/>
          <w:sz w:val="32"/>
          <w:szCs w:val="32"/>
        </w:rPr>
        <w:t>号）</w:t>
      </w:r>
      <w:r>
        <w:rPr>
          <w:rFonts w:hint="eastAsia" w:ascii="仿宋_GB2312" w:hAnsi="仿宋_GB2312" w:cs="仿宋_GB2312"/>
          <w:color w:val="000000"/>
          <w:sz w:val="32"/>
          <w:szCs w:val="32"/>
        </w:rPr>
        <w:t>。</w:t>
      </w:r>
    </w:p>
    <w:p w14:paraId="2DF745C0">
      <w:pPr>
        <w:pStyle w:val="35"/>
        <w:keepNext w:val="0"/>
        <w:keepLines w:val="0"/>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4.</w:t>
      </w:r>
      <w:r>
        <w:rPr>
          <w:rFonts w:hint="eastAsia" w:ascii="仿宋_GB2312" w:hAnsi="仿宋_GB2312" w:cs="仿宋_GB2312"/>
          <w:color w:val="000000"/>
          <w:kern w:val="2"/>
          <w:sz w:val="32"/>
          <w:szCs w:val="32"/>
          <w:lang w:val="en-US" w:eastAsia="zh-CN" w:bidi="ar-SA"/>
        </w:rPr>
        <w:t xml:space="preserve"> </w:t>
      </w:r>
      <w:r>
        <w:rPr>
          <w:rFonts w:hint="eastAsia" w:ascii="仿宋_GB2312" w:hAnsi="仿宋_GB2312" w:cs="仿宋_GB2312"/>
          <w:color w:val="000000"/>
          <w:sz w:val="32"/>
          <w:szCs w:val="32"/>
        </w:rPr>
        <w:t>常德市房和城乡建设局《关于2025年江北城区市政设施维修改造项目专项资金细化项目的相关请示》（常建〔2024〕103号）。</w:t>
      </w:r>
    </w:p>
    <w:p w14:paraId="023BA61A">
      <w:pPr>
        <w:pStyle w:val="35"/>
        <w:keepNext w:val="0"/>
        <w:keepLines w:val="0"/>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outlineLvl w:val="1"/>
        <w:rPr>
          <w:rFonts w:hint="eastAsia" w:ascii="仿宋_GB2312" w:hAnsi="仿宋_GB2312" w:cs="仿宋_GB2312"/>
          <w:sz w:val="32"/>
          <w:szCs w:val="32"/>
        </w:rPr>
      </w:pPr>
      <w:bookmarkStart w:id="20" w:name="_Toc450291478_WPSOffice_Level2"/>
      <w:bookmarkStart w:id="21" w:name="_Toc333544456_WPSOffice_Level2"/>
      <w:bookmarkStart w:id="22" w:name="_Toc479871566_WPSOffice_Level2"/>
      <w:bookmarkStart w:id="23" w:name="_Toc680724078_WPSOffice_Level2"/>
      <w:r>
        <w:rPr>
          <w:rFonts w:hint="eastAsia" w:ascii="仿宋_GB2312" w:hAnsi="仿宋_GB2312" w:eastAsia="仿宋_GB2312" w:cs="仿宋_GB2312"/>
          <w:kern w:val="2"/>
          <w:sz w:val="32"/>
          <w:szCs w:val="32"/>
          <w:lang w:val="en-US" w:eastAsia="zh-CN" w:bidi="ar-SA"/>
        </w:rPr>
        <w:t>5.</w:t>
      </w:r>
      <w:r>
        <w:rPr>
          <w:rFonts w:hint="eastAsia" w:ascii="仿宋_GB2312" w:hAnsi="仿宋_GB2312" w:cs="仿宋_GB2312"/>
          <w:kern w:val="2"/>
          <w:sz w:val="32"/>
          <w:szCs w:val="32"/>
          <w:lang w:val="en-US" w:eastAsia="zh-CN" w:bidi="ar-SA"/>
        </w:rPr>
        <w:t xml:space="preserve"> </w:t>
      </w:r>
      <w:r>
        <w:rPr>
          <w:rFonts w:hint="eastAsia" w:ascii="仿宋_GB2312" w:hAnsi="仿宋_GB2312" w:cs="仿宋_GB2312"/>
          <w:sz w:val="32"/>
          <w:szCs w:val="32"/>
        </w:rPr>
        <w:t>常德市建设工程造价管理站《关于公布常德市二○二五年第十二期建设工程材料市场综合价的通知》（</w:t>
      </w:r>
      <w:r>
        <w:rPr>
          <w:rFonts w:hint="eastAsia" w:ascii="仿宋_GB2312"/>
          <w:sz w:val="32"/>
          <w:szCs w:val="32"/>
        </w:rPr>
        <w:t>常建价〔2025〕16号</w:t>
      </w:r>
      <w:r>
        <w:rPr>
          <w:rFonts w:hint="eastAsia" w:ascii="仿宋_GB2312" w:hAnsi="仿宋_GB2312" w:cs="仿宋_GB2312"/>
          <w:sz w:val="32"/>
          <w:szCs w:val="32"/>
        </w:rPr>
        <w:t>）及市场价格。</w:t>
      </w:r>
      <w:bookmarkEnd w:id="20"/>
      <w:bookmarkEnd w:id="21"/>
      <w:bookmarkEnd w:id="22"/>
      <w:bookmarkEnd w:id="23"/>
    </w:p>
    <w:p w14:paraId="455FF4A2">
      <w:pPr>
        <w:pStyle w:val="35"/>
        <w:keepNext w:val="0"/>
        <w:keepLines w:val="0"/>
        <w:pageBreakBefore w:val="0"/>
        <w:widowControl w:val="0"/>
        <w:numPr>
          <w:ilvl w:val="0"/>
          <w:numId w:val="0"/>
        </w:numPr>
        <w:kinsoku/>
        <w:wordWrap/>
        <w:topLinePunct w:val="0"/>
        <w:autoSpaceDE/>
        <w:autoSpaceDN/>
        <w:bidi w:val="0"/>
        <w:adjustRightInd/>
        <w:snapToGrid/>
        <w:spacing w:line="560" w:lineRule="exact"/>
        <w:ind w:left="0" w:leftChars="0" w:firstLine="640" w:firstLineChars="200"/>
        <w:textAlignment w:val="auto"/>
        <w:outlineLvl w:val="2"/>
        <w:rPr>
          <w:rFonts w:hint="eastAsia" w:ascii="仿宋_GB2312" w:hAnsi="仿宋_GB2312" w:cs="仿宋_GB2312"/>
          <w:sz w:val="32"/>
          <w:szCs w:val="32"/>
        </w:rPr>
      </w:pPr>
      <w:bookmarkStart w:id="24" w:name="_Toc863367060_WPSOffice_Level3"/>
      <w:r>
        <w:rPr>
          <w:rFonts w:hint="eastAsia" w:ascii="仿宋_GB2312" w:hAnsi="仿宋_GB2312" w:eastAsia="仿宋_GB2312" w:cs="仿宋_GB2312"/>
          <w:kern w:val="2"/>
          <w:sz w:val="32"/>
          <w:szCs w:val="32"/>
          <w:lang w:val="en-US" w:eastAsia="zh-CN" w:bidi="ar-SA"/>
        </w:rPr>
        <w:t>6.</w:t>
      </w:r>
      <w:r>
        <w:rPr>
          <w:rFonts w:hint="eastAsia" w:ascii="仿宋_GB2312" w:hAnsi="仿宋_GB2312" w:cs="仿宋_GB2312"/>
          <w:kern w:val="2"/>
          <w:sz w:val="32"/>
          <w:szCs w:val="32"/>
          <w:lang w:val="en-US" w:eastAsia="zh-CN" w:bidi="ar-SA"/>
        </w:rPr>
        <w:t xml:space="preserve"> </w:t>
      </w:r>
      <w:r>
        <w:rPr>
          <w:rFonts w:hint="eastAsia" w:ascii="仿宋_GB2312" w:hAnsi="仿宋_GB2312" w:cs="仿宋_GB2312"/>
          <w:sz w:val="32"/>
          <w:szCs w:val="32"/>
        </w:rPr>
        <w:t>其他有关资料。</w:t>
      </w:r>
      <w:bookmarkEnd w:id="24"/>
    </w:p>
    <w:p w14:paraId="0D38C5BF">
      <w:pPr>
        <w:pStyle w:val="14"/>
        <w:keepNext w:val="0"/>
        <w:keepLines w:val="0"/>
        <w:pageBreakBefore w:val="0"/>
        <w:widowControl w:val="0"/>
        <w:tabs>
          <w:tab w:val="left" w:pos="6266"/>
        </w:tabs>
        <w:kinsoku/>
        <w:wordWrap/>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color w:val="000000"/>
          <w:sz w:val="32"/>
          <w:szCs w:val="32"/>
        </w:rPr>
      </w:pPr>
      <w:bookmarkStart w:id="25" w:name="_Toc913869554_WPSOffice_Level1"/>
      <w:bookmarkStart w:id="26" w:name="_Toc1890271026_WPSOffice_Level1"/>
      <w:bookmarkStart w:id="27" w:name="_Toc757239869_WPSOffice_Level1"/>
      <w:bookmarkStart w:id="28" w:name="_Toc1699738589_WPSOffice_Level1"/>
      <w:r>
        <w:rPr>
          <w:rFonts w:hint="eastAsia" w:ascii="黑体" w:hAnsi="黑体" w:eastAsia="黑体" w:cs="黑体"/>
          <w:color w:val="000000"/>
          <w:sz w:val="32"/>
          <w:szCs w:val="32"/>
        </w:rPr>
        <w:t>三、评审结论</w:t>
      </w:r>
      <w:bookmarkEnd w:id="25"/>
      <w:bookmarkEnd w:id="26"/>
      <w:bookmarkEnd w:id="27"/>
      <w:bookmarkEnd w:id="28"/>
    </w:p>
    <w:p w14:paraId="5606E12A">
      <w:pPr>
        <w:keepNext w:val="0"/>
        <w:keepLines w:val="0"/>
        <w:pageBreakBefore w:val="0"/>
        <w:widowControl w:val="0"/>
        <w:kinsoku/>
        <w:wordWrap/>
        <w:topLinePunct w:val="0"/>
        <w:autoSpaceDE/>
        <w:autoSpaceDN/>
        <w:bidi w:val="0"/>
        <w:adjustRightInd/>
        <w:snapToGrid/>
        <w:spacing w:line="56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rPr>
        <w:t>该工程施工图预算送审金额为</w:t>
      </w:r>
      <w:r>
        <w:rPr>
          <w:rFonts w:ascii="仿宋_GB2312" w:hAnsi="仿宋_GB2312" w:eastAsia="仿宋_GB2312" w:cs="仿宋_GB2312"/>
          <w:color w:val="000000"/>
          <w:sz w:val="32"/>
          <w:szCs w:val="32"/>
        </w:rPr>
        <w:t>1119800</w:t>
      </w:r>
      <w:r>
        <w:rPr>
          <w:rFonts w:hint="eastAsia" w:ascii="仿宋_GB2312" w:hAnsi="仿宋_GB2312" w:eastAsia="仿宋_GB2312" w:cs="仿宋_GB2312"/>
          <w:color w:val="000000"/>
          <w:sz w:val="32"/>
          <w:szCs w:val="32"/>
        </w:rPr>
        <w:t>元，审定金额为</w:t>
      </w:r>
      <w:r>
        <w:rPr>
          <w:rFonts w:ascii="仿宋_GB2312" w:hAnsi="仿宋_GB2312" w:eastAsia="仿宋_GB2312" w:cs="仿宋_GB2312"/>
          <w:sz w:val="32"/>
          <w:szCs w:val="32"/>
        </w:rPr>
        <w:t>1111249</w:t>
      </w:r>
      <w:r>
        <w:rPr>
          <w:rFonts w:hint="eastAsia" w:ascii="仿宋_GB2312" w:hAnsi="仿宋_GB2312" w:eastAsia="仿宋_GB2312" w:cs="仿宋_GB2312"/>
          <w:sz w:val="32"/>
          <w:szCs w:val="32"/>
        </w:rPr>
        <w:t>元，审减金额为</w:t>
      </w:r>
      <w:r>
        <w:rPr>
          <w:rFonts w:ascii="仿宋_GB2312" w:hAnsi="仿宋_GB2312" w:eastAsia="仿宋_GB2312" w:cs="仿宋_GB2312"/>
          <w:sz w:val="32"/>
          <w:szCs w:val="32"/>
        </w:rPr>
        <w:t>8551</w:t>
      </w:r>
      <w:r>
        <w:rPr>
          <w:rFonts w:hint="eastAsia" w:ascii="仿宋_GB2312" w:hAnsi="仿宋_GB2312" w:eastAsia="仿宋_GB2312" w:cs="仿宋_GB2312"/>
          <w:sz w:val="32"/>
          <w:szCs w:val="32"/>
        </w:rPr>
        <w:t>元。其中：工程费审减</w:t>
      </w:r>
      <w:r>
        <w:rPr>
          <w:rFonts w:ascii="仿宋_GB2312" w:hAnsi="仿宋_GB2312" w:eastAsia="仿宋_GB2312" w:cs="仿宋_GB2312"/>
          <w:sz w:val="32"/>
          <w:szCs w:val="32"/>
        </w:rPr>
        <w:t>14027</w:t>
      </w:r>
      <w:r>
        <w:rPr>
          <w:rFonts w:hint="eastAsia" w:ascii="仿宋_GB2312" w:hAnsi="仿宋_GB2312" w:eastAsia="仿宋_GB2312" w:cs="仿宋_GB2312"/>
          <w:sz w:val="32"/>
          <w:szCs w:val="32"/>
        </w:rPr>
        <w:t>元，前期费审减</w:t>
      </w:r>
      <w:r>
        <w:rPr>
          <w:rFonts w:ascii="仿宋_GB2312" w:hAnsi="仿宋_GB2312" w:eastAsia="仿宋_GB2312" w:cs="仿宋_GB2312"/>
          <w:sz w:val="32"/>
          <w:szCs w:val="32"/>
        </w:rPr>
        <w:t>2788</w:t>
      </w:r>
      <w:r>
        <w:rPr>
          <w:rFonts w:hint="eastAsia" w:ascii="仿宋_GB2312" w:hAnsi="仿宋_GB2312" w:eastAsia="仿宋_GB2312" w:cs="仿宋_GB2312"/>
          <w:sz w:val="32"/>
          <w:szCs w:val="32"/>
        </w:rPr>
        <w:t>元，不可预见费审增</w:t>
      </w:r>
      <w:r>
        <w:rPr>
          <w:rFonts w:ascii="仿宋_GB2312" w:hAnsi="仿宋_GB2312" w:eastAsia="仿宋_GB2312" w:cs="仿宋_GB2312"/>
          <w:sz w:val="32"/>
          <w:szCs w:val="32"/>
        </w:rPr>
        <w:t>8263</w:t>
      </w:r>
      <w:r>
        <w:rPr>
          <w:rFonts w:hint="eastAsia" w:ascii="仿宋_GB2312" w:hAnsi="仿宋_GB2312" w:eastAsia="仿宋_GB2312" w:cs="仿宋_GB2312"/>
          <w:sz w:val="32"/>
          <w:szCs w:val="32"/>
        </w:rPr>
        <w:t>元。审减主要原因如下：</w:t>
      </w:r>
    </w:p>
    <w:p w14:paraId="79B7A50E">
      <w:pPr>
        <w:pStyle w:val="35"/>
        <w:keepNext w:val="0"/>
        <w:keepLines w:val="0"/>
        <w:pageBreakBefore w:val="0"/>
        <w:widowControl w:val="0"/>
        <w:numPr>
          <w:ilvl w:val="0"/>
          <w:numId w:val="1"/>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rPr>
        <w:t>管道砂垫层子目高套。</w:t>
      </w:r>
    </w:p>
    <w:p w14:paraId="4873BA54">
      <w:pPr>
        <w:pStyle w:val="35"/>
        <w:keepNext w:val="0"/>
        <w:keepLines w:val="0"/>
        <w:pageBreakBefore w:val="0"/>
        <w:widowControl w:val="0"/>
        <w:numPr>
          <w:ilvl w:val="0"/>
          <w:numId w:val="1"/>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rPr>
        <w:t>材料价格按最新信息价调整。</w:t>
      </w:r>
    </w:p>
    <w:p w14:paraId="1A979C3C">
      <w:pPr>
        <w:pStyle w:val="35"/>
        <w:keepNext w:val="0"/>
        <w:keepLines w:val="0"/>
        <w:pageBreakBefore w:val="0"/>
        <w:widowControl w:val="0"/>
        <w:numPr>
          <w:ilvl w:val="0"/>
          <w:numId w:val="1"/>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rPr>
        <w:t>采购代理费多计。</w:t>
      </w:r>
    </w:p>
    <w:p w14:paraId="1AC00F9F">
      <w:pPr>
        <w:pStyle w:val="35"/>
        <w:keepNext w:val="0"/>
        <w:keepLines w:val="0"/>
        <w:pageBreakBefore w:val="0"/>
        <w:widowControl w:val="0"/>
        <w:numPr>
          <w:ilvl w:val="0"/>
          <w:numId w:val="1"/>
        </w:numPr>
        <w:kinsoku/>
        <w:wordWrap/>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sz w:val="32"/>
          <w:szCs w:val="32"/>
        </w:rPr>
      </w:pPr>
      <w:r>
        <w:rPr>
          <w:rFonts w:hint="eastAsia" w:ascii="仿宋_GB2312" w:hAnsi="仿宋_GB2312" w:cs="仿宋_GB2312"/>
          <w:sz w:val="32"/>
          <w:szCs w:val="32"/>
        </w:rPr>
        <w:t>不可预见费少计。</w:t>
      </w:r>
    </w:p>
    <w:p w14:paraId="5A88D344">
      <w:pPr>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sz w:val="32"/>
          <w:szCs w:val="32"/>
        </w:rPr>
      </w:pPr>
      <w:bookmarkStart w:id="29" w:name="_Toc1156470918_WPSOffice_Level1"/>
      <w:bookmarkStart w:id="30" w:name="_Toc1954155083_WPSOffice_Level1"/>
      <w:bookmarkStart w:id="31" w:name="_Toc545252939_WPSOffice_Level1"/>
      <w:bookmarkStart w:id="32" w:name="_Toc308870453_WPSOffice_Level1"/>
      <w:r>
        <w:rPr>
          <w:rFonts w:hint="eastAsia" w:ascii="黑体" w:hAnsi="黑体" w:eastAsia="黑体" w:cs="黑体"/>
          <w:sz w:val="32"/>
          <w:szCs w:val="32"/>
        </w:rPr>
        <w:t>四、存在的问题及建议</w:t>
      </w:r>
      <w:bookmarkEnd w:id="29"/>
      <w:bookmarkEnd w:id="30"/>
      <w:bookmarkEnd w:id="31"/>
      <w:bookmarkEnd w:id="32"/>
    </w:p>
    <w:p w14:paraId="25680260">
      <w:pPr>
        <w:pStyle w:val="35"/>
        <w:keepNext w:val="0"/>
        <w:keepLines w:val="0"/>
        <w:pageBreakBefore w:val="0"/>
        <w:widowControl w:val="0"/>
        <w:kinsoku/>
        <w:wordWrap/>
        <w:overflowPunct w:val="0"/>
        <w:topLinePunct w:val="0"/>
        <w:autoSpaceDE/>
        <w:autoSpaceDN/>
        <w:bidi w:val="0"/>
        <w:adjustRightInd/>
        <w:snapToGrid/>
        <w:spacing w:line="560" w:lineRule="exact"/>
        <w:ind w:left="0" w:firstLine="640" w:firstLineChars="200"/>
        <w:textAlignment w:val="auto"/>
        <w:rPr>
          <w:rFonts w:hint="eastAsia" w:ascii="仿宋_GB2312" w:hAnsi="仿宋_GB2312" w:cs="仿宋_GB2312"/>
          <w:color w:val="000000"/>
          <w:sz w:val="32"/>
          <w:szCs w:val="32"/>
        </w:rPr>
      </w:pPr>
      <w:r>
        <w:rPr>
          <w:rFonts w:hint="eastAsia" w:ascii="仿宋_GB2312" w:hAnsi="仿宋_GB2312" w:cs="仿宋_GB2312"/>
          <w:color w:val="000000"/>
          <w:sz w:val="32"/>
          <w:szCs w:val="32"/>
        </w:rPr>
        <w:t>驮古堤雨水泵站设备改造工程主要内容为设备采购安装，设备评审单价按项目单位提供的询价结果及定价说明取定。根据中共常德市委办公室、常德市人民政府办公室《关于深入贯彻过“紧日子”要求进一步加强财政管理的通知》（常办〔2023〕18号）要求，项目单位应强化政府投资项目管理，切实控制建设成本。建议在工程实施过程中，严格按相关计价管理规定及时完成各项费用确认，对设备的技术参数、性能指标等开展严格验收核验，同时合理约定设备后续维保相关条款，充分发挥其最大使用效益。</w:t>
      </w:r>
    </w:p>
    <w:p w14:paraId="666739B0">
      <w:pPr>
        <w:pStyle w:val="14"/>
        <w:keepNext w:val="0"/>
        <w:keepLines w:val="0"/>
        <w:pageBreakBefore w:val="0"/>
        <w:widowControl w:val="0"/>
        <w:tabs>
          <w:tab w:val="left" w:pos="6266"/>
        </w:tabs>
        <w:kinsoku/>
        <w:wordWrap/>
        <w:topLinePunct w:val="0"/>
        <w:autoSpaceDE/>
        <w:autoSpaceDN/>
        <w:bidi w:val="0"/>
        <w:adjustRightInd/>
        <w:snapToGrid/>
        <w:spacing w:line="560" w:lineRule="exact"/>
        <w:ind w:left="0" w:firstLine="640" w:firstLineChars="200"/>
        <w:textAlignment w:val="auto"/>
        <w:outlineLvl w:val="0"/>
        <w:rPr>
          <w:rFonts w:hint="eastAsia" w:ascii="黑体" w:hAnsi="黑体" w:eastAsia="黑体" w:cs="黑体"/>
          <w:color w:val="000000"/>
          <w:sz w:val="32"/>
          <w:szCs w:val="32"/>
        </w:rPr>
      </w:pPr>
      <w:bookmarkStart w:id="33" w:name="_Toc1244274959_WPSOffice_Level1"/>
      <w:bookmarkStart w:id="34" w:name="_Toc669635750_WPSOffice_Level1"/>
      <w:bookmarkStart w:id="35" w:name="_Toc340961487_WPSOffice_Level1"/>
      <w:bookmarkStart w:id="36" w:name="_Toc391484743_WPSOffice_Level1"/>
      <w:r>
        <w:rPr>
          <w:rFonts w:hint="eastAsia" w:ascii="黑体" w:hAnsi="黑体" w:eastAsia="黑体" w:cs="黑体"/>
          <w:color w:val="000000"/>
          <w:sz w:val="32"/>
          <w:szCs w:val="32"/>
        </w:rPr>
        <w:t>五、有关事项说明</w:t>
      </w:r>
      <w:bookmarkEnd w:id="33"/>
      <w:bookmarkEnd w:id="34"/>
      <w:bookmarkEnd w:id="35"/>
      <w:bookmarkEnd w:id="36"/>
    </w:p>
    <w:p w14:paraId="5CE38595">
      <w:pPr>
        <w:pStyle w:val="35"/>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1.</w:t>
      </w:r>
      <w:r>
        <w:rPr>
          <w:rFonts w:hint="eastAsia" w:ascii="仿宋_GB2312" w:hAnsi="仿宋_GB2312" w:cs="仿宋_GB2312"/>
          <w:color w:val="000000"/>
          <w:kern w:val="2"/>
          <w:sz w:val="32"/>
          <w:szCs w:val="32"/>
          <w:lang w:val="en-US" w:eastAsia="zh-CN" w:bidi="ar-SA"/>
        </w:rPr>
        <w:t xml:space="preserve"> </w:t>
      </w:r>
      <w:r>
        <w:rPr>
          <w:rFonts w:hint="eastAsia" w:ascii="仿宋_GB2312" w:hAnsi="仿宋_GB2312" w:cs="仿宋_GB2312"/>
          <w:color w:val="000000"/>
          <w:sz w:val="32"/>
          <w:szCs w:val="32"/>
        </w:rPr>
        <w:t>本</w:t>
      </w:r>
      <w:r>
        <w:rPr>
          <w:rFonts w:hint="eastAsia"/>
          <w:sz w:val="32"/>
          <w:szCs w:val="32"/>
        </w:rPr>
        <w:t>评审结果是该工程财政预算控制上限，作为预算执行的重要依据，</w:t>
      </w:r>
      <w:r>
        <w:rPr>
          <w:rFonts w:hint="eastAsia" w:ascii="仿宋_GB2312" w:hAnsi="仿宋_GB2312" w:cs="仿宋_GB2312"/>
          <w:sz w:val="32"/>
          <w:szCs w:val="32"/>
        </w:rPr>
        <w:t>不作为招投标、政府采购、结算和决算的依据</w:t>
      </w:r>
      <w:r>
        <w:rPr>
          <w:rFonts w:hint="eastAsia" w:ascii="仿宋_GB2312" w:hAnsi="仿宋_GB2312" w:cs="仿宋_GB2312"/>
          <w:color w:val="000000"/>
          <w:sz w:val="32"/>
          <w:szCs w:val="32"/>
        </w:rPr>
        <w:t>。请</w:t>
      </w:r>
      <w:r>
        <w:rPr>
          <w:rFonts w:hint="eastAsia"/>
          <w:sz w:val="32"/>
          <w:szCs w:val="32"/>
        </w:rPr>
        <w:t>根据预算执行评审结果调整预算安排并指导相关部门严控预算执行，督促</w:t>
      </w:r>
      <w:r>
        <w:rPr>
          <w:rFonts w:hint="eastAsia" w:ascii="仿宋_GB2312" w:hAnsi="仿宋_GB2312" w:cs="仿宋_GB2312"/>
          <w:color w:val="000000"/>
          <w:sz w:val="32"/>
          <w:szCs w:val="32"/>
        </w:rPr>
        <w:t>项目单位严格遵守各项法律法规、财经纪律和财务管理制度。资金管理科室对预算评审类型和报告使用负责。</w:t>
      </w:r>
    </w:p>
    <w:p w14:paraId="72C10342">
      <w:pPr>
        <w:pStyle w:val="35"/>
        <w:keepNext w:val="0"/>
        <w:keepLines w:val="0"/>
        <w:pageBreakBefore w:val="0"/>
        <w:widowControl w:val="0"/>
        <w:numPr>
          <w:ilvl w:val="0"/>
          <w:numId w:val="0"/>
        </w:numPr>
        <w:kinsoku/>
        <w:wordWrap/>
        <w:overflowPunct w:val="0"/>
        <w:topLinePunct w:val="0"/>
        <w:autoSpaceDE/>
        <w:autoSpaceDN/>
        <w:bidi w:val="0"/>
        <w:adjustRightInd/>
        <w:snapToGrid/>
        <w:spacing w:line="560" w:lineRule="exact"/>
        <w:ind w:left="0" w:leftChars="0" w:firstLine="640" w:firstLineChars="200"/>
        <w:textAlignment w:val="auto"/>
        <w:rPr>
          <w:rFonts w:hint="eastAsia" w:ascii="仿宋_GB2312" w:hAnsi="仿宋_GB2312" w:cs="仿宋_GB2312"/>
          <w:color w:val="000000"/>
          <w:sz w:val="32"/>
          <w:szCs w:val="32"/>
        </w:rPr>
      </w:pPr>
      <w:r>
        <w:rPr>
          <w:rFonts w:hint="eastAsia" w:ascii="仿宋_GB2312" w:hAnsi="仿宋_GB2312" w:eastAsia="仿宋_GB2312" w:cs="仿宋_GB2312"/>
          <w:color w:val="000000"/>
          <w:kern w:val="2"/>
          <w:sz w:val="32"/>
          <w:szCs w:val="32"/>
          <w:lang w:val="en-US" w:eastAsia="zh-CN" w:bidi="ar-SA"/>
        </w:rPr>
        <w:t>2.</w:t>
      </w:r>
      <w:r>
        <w:rPr>
          <w:rFonts w:hint="eastAsia" w:ascii="仿宋_GB2312" w:hAnsi="仿宋_GB2312" w:cs="仿宋_GB2312"/>
          <w:color w:val="000000"/>
          <w:kern w:val="2"/>
          <w:sz w:val="32"/>
          <w:szCs w:val="32"/>
          <w:lang w:val="en-US" w:eastAsia="zh-CN" w:bidi="ar-SA"/>
        </w:rPr>
        <w:t xml:space="preserve"> </w:t>
      </w:r>
      <w:bookmarkStart w:id="37" w:name="_GoBack"/>
      <w:bookmarkEnd w:id="37"/>
      <w:r>
        <w:rPr>
          <w:rFonts w:hint="eastAsia" w:ascii="仿宋_GB2312" w:hAnsi="仿宋_GB2312" w:cs="仿宋_GB2312"/>
          <w:color w:val="000000"/>
          <w:sz w:val="32"/>
          <w:szCs w:val="32"/>
        </w:rPr>
        <w:t>工程预算控制上限依据项目单位提供的设计图纸、施工方案，参照相关法律法规、行业规范标准及市场询价结果出具。若因送审资料完整性不足、准确性欠缺等情形导致的偏差，相关责任由项目单位自行承担。</w:t>
      </w:r>
    </w:p>
    <w:p w14:paraId="2B66E342"/>
    <w:p w14:paraId="25292D53"/>
    <w:p w14:paraId="37BC9488"/>
    <w:p w14:paraId="589AF4E7">
      <w:pPr>
        <w:overflowPunct w:val="0"/>
        <w:ind w:firstLine="640" w:firstLineChars="200"/>
        <w:jc w:val="righ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常德市财政局投资评审中心</w:t>
      </w:r>
    </w:p>
    <w:p w14:paraId="4BB23768">
      <w:pPr>
        <w:pStyle w:val="2"/>
        <w:wordWrap w:val="0"/>
        <w:spacing w:line="600" w:lineRule="exact"/>
        <w:ind w:left="5460" w:right="332" w:hanging="73"/>
        <w:jc w:val="right"/>
        <w:rPr>
          <w:rFonts w:ascii="Times New Roman" w:hAnsi="Times New Roman"/>
        </w:rPr>
      </w:pPr>
      <w:r>
        <w:rPr>
          <w:rFonts w:hint="eastAsia" w:ascii="仿宋_GB2312" w:hAnsi="仿宋_GB2312" w:eastAsia="仿宋_GB2312" w:cs="仿宋_GB2312"/>
          <w:color w:val="000000"/>
          <w:sz w:val="32"/>
          <w:szCs w:val="32"/>
        </w:rPr>
        <w:t>2026年1月2</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日</w:t>
      </w:r>
    </w:p>
    <w:p w14:paraId="70350F92">
      <w:pPr>
        <w:jc w:val="left"/>
        <w:rPr>
          <w:rFonts w:ascii="仿宋_GB2312" w:eastAsia="仿宋_GB2312"/>
          <w:sz w:val="32"/>
          <w:szCs w:val="32"/>
        </w:rPr>
      </w:pPr>
    </w:p>
    <w:p w14:paraId="1B36FC73">
      <w:pPr>
        <w:jc w:val="left"/>
        <w:rPr>
          <w:rFonts w:ascii="仿宋_GB2312" w:eastAsia="仿宋_GB2312"/>
          <w:sz w:val="32"/>
          <w:szCs w:val="32"/>
        </w:rPr>
      </w:pPr>
    </w:p>
    <w:p w14:paraId="31CCCC18">
      <w:pPr>
        <w:jc w:val="left"/>
        <w:rPr>
          <w:rFonts w:ascii="仿宋_GB2312" w:eastAsia="仿宋_GB2312"/>
          <w:sz w:val="32"/>
          <w:szCs w:val="32"/>
        </w:rPr>
      </w:pPr>
    </w:p>
    <w:p w14:paraId="6F161776">
      <w:pPr>
        <w:widowControl/>
        <w:jc w:val="left"/>
        <w:rPr>
          <w:rFonts w:ascii="仿宋_GB2312" w:eastAsia="仿宋_GB2312"/>
          <w:sz w:val="32"/>
          <w:szCs w:val="32"/>
        </w:rPr>
      </w:pPr>
      <w:r>
        <w:rPr>
          <w:rFonts w:ascii="仿宋_GB2312" w:eastAsia="仿宋_GB2312"/>
          <w:sz w:val="32"/>
          <w:szCs w:val="32"/>
        </w:rPr>
        <w:br w:type="page"/>
      </w:r>
    </w:p>
    <w:p w14:paraId="20F9B298">
      <w:pPr>
        <w:jc w:val="left"/>
        <w:rPr>
          <w:rFonts w:ascii="仿宋_GB2312" w:eastAsia="仿宋_GB2312"/>
          <w:sz w:val="32"/>
          <w:szCs w:val="32"/>
        </w:rPr>
      </w:pPr>
      <w:r>
        <w:rPr>
          <w:rFonts w:hint="eastAsia" w:ascii="仿宋_GB2312" w:eastAsia="仿宋_GB2312"/>
          <w:sz w:val="32"/>
          <w:szCs w:val="32"/>
        </w:rPr>
        <w:t>附表</w:t>
      </w:r>
    </w:p>
    <w:tbl>
      <w:tblPr>
        <w:tblStyle w:val="20"/>
        <w:tblW w:w="8853" w:type="dxa"/>
        <w:jc w:val="center"/>
        <w:tblLayout w:type="fixed"/>
        <w:tblCellMar>
          <w:top w:w="0" w:type="dxa"/>
          <w:left w:w="108" w:type="dxa"/>
          <w:bottom w:w="0" w:type="dxa"/>
          <w:right w:w="108" w:type="dxa"/>
        </w:tblCellMar>
      </w:tblPr>
      <w:tblGrid>
        <w:gridCol w:w="724"/>
        <w:gridCol w:w="2446"/>
        <w:gridCol w:w="1323"/>
        <w:gridCol w:w="1323"/>
        <w:gridCol w:w="1123"/>
        <w:gridCol w:w="200"/>
        <w:gridCol w:w="1702"/>
        <w:gridCol w:w="12"/>
      </w:tblGrid>
      <w:tr w14:paraId="50BE73FE">
        <w:tblPrEx>
          <w:tblCellMar>
            <w:top w:w="0" w:type="dxa"/>
            <w:left w:w="108" w:type="dxa"/>
            <w:bottom w:w="0" w:type="dxa"/>
            <w:right w:w="108" w:type="dxa"/>
          </w:tblCellMar>
        </w:tblPrEx>
        <w:trPr>
          <w:gridAfter w:val="1"/>
          <w:wAfter w:w="12" w:type="dxa"/>
          <w:trHeight w:val="780" w:hRule="atLeast"/>
          <w:jc w:val="center"/>
        </w:trPr>
        <w:tc>
          <w:tcPr>
            <w:tcW w:w="8841" w:type="dxa"/>
            <w:gridSpan w:val="7"/>
            <w:tcBorders>
              <w:top w:val="nil"/>
              <w:left w:val="nil"/>
              <w:bottom w:val="nil"/>
              <w:right w:val="nil"/>
            </w:tcBorders>
            <w:noWrap/>
            <w:vAlign w:val="center"/>
          </w:tcPr>
          <w:p w14:paraId="6F999CF3">
            <w:pPr>
              <w:pStyle w:val="12"/>
              <w:spacing w:line="600" w:lineRule="exact"/>
              <w:jc w:val="center"/>
              <w:outlineLvl w:val="0"/>
              <w:rPr>
                <w:rFonts w:hint="eastAsia" w:ascii="宋体" w:hAnsi="宋体" w:eastAsia="宋体" w:cs="宋体"/>
                <w:color w:val="000000"/>
                <w:sz w:val="44"/>
                <w:lang w:eastAsia="zh-CN"/>
              </w:rPr>
            </w:pPr>
            <w:r>
              <w:rPr>
                <w:rFonts w:hint="eastAsia" w:ascii="宋体" w:hAnsi="宋体" w:eastAsia="宋体" w:cs="宋体"/>
                <w:color w:val="000000"/>
                <w:sz w:val="44"/>
                <w:lang w:eastAsia="zh-CN"/>
              </w:rPr>
              <w:t>2025年管网及设备改造工程</w:t>
            </w:r>
          </w:p>
          <w:p w14:paraId="4680A81E">
            <w:pPr>
              <w:pStyle w:val="12"/>
              <w:spacing w:line="600" w:lineRule="exact"/>
              <w:jc w:val="center"/>
              <w:outlineLvl w:val="0"/>
              <w:rPr>
                <w:rFonts w:ascii="宋体" w:hAnsi="宋体" w:cs="宋体"/>
                <w:kern w:val="0"/>
                <w:sz w:val="44"/>
                <w:szCs w:val="44"/>
                <w:lang w:eastAsia="zh-CN"/>
              </w:rPr>
            </w:pPr>
            <w:r>
              <w:rPr>
                <w:rFonts w:hint="eastAsia" w:ascii="宋体" w:hAnsi="宋体" w:eastAsia="宋体" w:cs="宋体"/>
                <w:color w:val="000000"/>
                <w:sz w:val="44"/>
                <w:lang w:eastAsia="zh-CN"/>
              </w:rPr>
              <w:t>预算执行评审汇总表</w:t>
            </w:r>
          </w:p>
        </w:tc>
      </w:tr>
      <w:tr w14:paraId="0CDC4B68">
        <w:tblPrEx>
          <w:tblCellMar>
            <w:top w:w="0" w:type="dxa"/>
            <w:left w:w="108" w:type="dxa"/>
            <w:bottom w:w="0" w:type="dxa"/>
            <w:right w:w="108" w:type="dxa"/>
          </w:tblCellMar>
        </w:tblPrEx>
        <w:trPr>
          <w:gridAfter w:val="1"/>
          <w:wAfter w:w="12" w:type="dxa"/>
          <w:trHeight w:val="567" w:hRule="exact"/>
          <w:jc w:val="center"/>
        </w:trPr>
        <w:tc>
          <w:tcPr>
            <w:tcW w:w="6939" w:type="dxa"/>
            <w:gridSpan w:val="5"/>
            <w:tcBorders>
              <w:top w:val="nil"/>
              <w:left w:val="nil"/>
              <w:bottom w:val="nil"/>
              <w:right w:val="nil"/>
            </w:tcBorders>
            <w:noWrap/>
            <w:vAlign w:val="center"/>
          </w:tcPr>
          <w:p w14:paraId="3574C319">
            <w:pPr>
              <w:jc w:val="left"/>
              <w:rPr>
                <w:rFonts w:hint="eastAsia" w:ascii="仿宋_GB2312" w:hAnsi="仿宋_GB2312" w:eastAsia="仿宋_GB2312" w:cs="仿宋_GB2312"/>
                <w:sz w:val="28"/>
                <w:szCs w:val="28"/>
                <w:u w:val="single"/>
              </w:rPr>
            </w:pPr>
          </w:p>
        </w:tc>
        <w:tc>
          <w:tcPr>
            <w:tcW w:w="1902" w:type="dxa"/>
            <w:gridSpan w:val="2"/>
            <w:tcBorders>
              <w:top w:val="nil"/>
              <w:left w:val="nil"/>
              <w:bottom w:val="nil"/>
              <w:right w:val="nil"/>
            </w:tcBorders>
            <w:vAlign w:val="center"/>
          </w:tcPr>
          <w:p w14:paraId="5B6D582B">
            <w:pPr>
              <w:widowControl/>
              <w:jc w:val="left"/>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4"/>
              </w:rPr>
              <w:t>金额单位：元</w:t>
            </w:r>
          </w:p>
        </w:tc>
      </w:tr>
      <w:tr w14:paraId="1CF1914E">
        <w:tblPrEx>
          <w:tblCellMar>
            <w:top w:w="15" w:type="dxa"/>
            <w:left w:w="15" w:type="dxa"/>
            <w:bottom w:w="15" w:type="dxa"/>
            <w:right w:w="15" w:type="dxa"/>
          </w:tblCellMar>
        </w:tblPrEx>
        <w:trPr>
          <w:trHeight w:val="567" w:hRule="exact"/>
          <w:jc w:val="center"/>
        </w:trPr>
        <w:tc>
          <w:tcPr>
            <w:tcW w:w="724" w:type="dxa"/>
            <w:tcBorders>
              <w:top w:val="single" w:color="000000" w:sz="4" w:space="0"/>
              <w:left w:val="single" w:color="000000" w:sz="4" w:space="0"/>
              <w:bottom w:val="single" w:color="000000" w:sz="4" w:space="0"/>
              <w:right w:val="single" w:color="000000" w:sz="4" w:space="0"/>
            </w:tcBorders>
            <w:vAlign w:val="center"/>
          </w:tcPr>
          <w:p w14:paraId="7A4589D4">
            <w:pPr>
              <w:widowControl/>
              <w:spacing w:line="240" w:lineRule="exact"/>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序号</w:t>
            </w:r>
          </w:p>
        </w:tc>
        <w:tc>
          <w:tcPr>
            <w:tcW w:w="2446" w:type="dxa"/>
            <w:tcBorders>
              <w:top w:val="single" w:color="000000" w:sz="4" w:space="0"/>
              <w:left w:val="single" w:color="000000" w:sz="4" w:space="0"/>
              <w:bottom w:val="single" w:color="000000" w:sz="4" w:space="0"/>
              <w:right w:val="single" w:color="000000" w:sz="4" w:space="0"/>
            </w:tcBorders>
            <w:vAlign w:val="center"/>
          </w:tcPr>
          <w:p w14:paraId="58C57AEE">
            <w:pPr>
              <w:widowControl/>
              <w:spacing w:line="240" w:lineRule="exact"/>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评审内容</w:t>
            </w:r>
          </w:p>
        </w:tc>
        <w:tc>
          <w:tcPr>
            <w:tcW w:w="1323" w:type="dxa"/>
            <w:tcBorders>
              <w:top w:val="single" w:color="000000" w:sz="4" w:space="0"/>
              <w:left w:val="single" w:color="000000" w:sz="4" w:space="0"/>
              <w:bottom w:val="single" w:color="000000" w:sz="4" w:space="0"/>
              <w:right w:val="single" w:color="000000" w:sz="4" w:space="0"/>
            </w:tcBorders>
            <w:vAlign w:val="center"/>
          </w:tcPr>
          <w:p w14:paraId="2B09F279">
            <w:pPr>
              <w:widowControl/>
              <w:spacing w:line="240" w:lineRule="exact"/>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送审金额</w:t>
            </w:r>
          </w:p>
        </w:tc>
        <w:tc>
          <w:tcPr>
            <w:tcW w:w="1323" w:type="dxa"/>
            <w:tcBorders>
              <w:top w:val="single" w:color="000000" w:sz="4" w:space="0"/>
              <w:left w:val="single" w:color="000000" w:sz="4" w:space="0"/>
              <w:bottom w:val="single" w:color="000000" w:sz="4" w:space="0"/>
              <w:right w:val="single" w:color="000000" w:sz="4" w:space="0"/>
            </w:tcBorders>
            <w:vAlign w:val="center"/>
          </w:tcPr>
          <w:p w14:paraId="37A7E905">
            <w:pPr>
              <w:widowControl/>
              <w:spacing w:line="240" w:lineRule="exact"/>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审定金额</w:t>
            </w:r>
          </w:p>
        </w:tc>
        <w:tc>
          <w:tcPr>
            <w:tcW w:w="1323" w:type="dxa"/>
            <w:gridSpan w:val="2"/>
            <w:tcBorders>
              <w:top w:val="single" w:color="000000" w:sz="4" w:space="0"/>
              <w:left w:val="single" w:color="000000" w:sz="4" w:space="0"/>
              <w:bottom w:val="single" w:color="000000" w:sz="4" w:space="0"/>
              <w:right w:val="single" w:color="000000" w:sz="4" w:space="0"/>
            </w:tcBorders>
            <w:vAlign w:val="center"/>
          </w:tcPr>
          <w:p w14:paraId="3FA32F38">
            <w:pPr>
              <w:widowControl/>
              <w:spacing w:line="240" w:lineRule="exact"/>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审减金额</w:t>
            </w:r>
          </w:p>
        </w:tc>
        <w:tc>
          <w:tcPr>
            <w:tcW w:w="1714" w:type="dxa"/>
            <w:gridSpan w:val="2"/>
            <w:tcBorders>
              <w:top w:val="single" w:color="000000" w:sz="4" w:space="0"/>
              <w:left w:val="single" w:color="000000" w:sz="4" w:space="0"/>
              <w:bottom w:val="single" w:color="000000" w:sz="4" w:space="0"/>
              <w:right w:val="single" w:color="000000" w:sz="4" w:space="0"/>
            </w:tcBorders>
            <w:vAlign w:val="center"/>
          </w:tcPr>
          <w:p w14:paraId="72575F57">
            <w:pPr>
              <w:widowControl/>
              <w:spacing w:line="240" w:lineRule="exact"/>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备  注</w:t>
            </w:r>
          </w:p>
        </w:tc>
      </w:tr>
      <w:tr w14:paraId="72BA7188">
        <w:tblPrEx>
          <w:tblCellMar>
            <w:top w:w="0" w:type="dxa"/>
            <w:left w:w="108" w:type="dxa"/>
            <w:bottom w:w="0" w:type="dxa"/>
            <w:right w:w="108" w:type="dxa"/>
          </w:tblCellMar>
        </w:tblPrEx>
        <w:trPr>
          <w:trHeight w:val="567" w:hRule="exact"/>
          <w:jc w:val="center"/>
        </w:trPr>
        <w:tc>
          <w:tcPr>
            <w:tcW w:w="724" w:type="dxa"/>
            <w:tcBorders>
              <w:top w:val="single" w:color="auto" w:sz="4" w:space="0"/>
              <w:left w:val="single" w:color="auto" w:sz="4" w:space="0"/>
              <w:bottom w:val="single" w:color="auto" w:sz="4" w:space="0"/>
              <w:right w:val="single" w:color="auto" w:sz="4" w:space="0"/>
            </w:tcBorders>
            <w:vAlign w:val="center"/>
          </w:tcPr>
          <w:p w14:paraId="7A602B2F">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一</w:t>
            </w:r>
          </w:p>
        </w:tc>
        <w:tc>
          <w:tcPr>
            <w:tcW w:w="2446" w:type="dxa"/>
            <w:tcBorders>
              <w:top w:val="single" w:color="auto" w:sz="4" w:space="0"/>
              <w:left w:val="nil"/>
              <w:bottom w:val="single" w:color="auto" w:sz="4" w:space="0"/>
              <w:right w:val="single" w:color="auto" w:sz="4" w:space="0"/>
            </w:tcBorders>
            <w:vAlign w:val="center"/>
          </w:tcPr>
          <w:p w14:paraId="56659FB6">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工程费</w:t>
            </w:r>
          </w:p>
        </w:tc>
        <w:tc>
          <w:tcPr>
            <w:tcW w:w="1323" w:type="dxa"/>
            <w:tcBorders>
              <w:top w:val="single" w:color="auto" w:sz="4" w:space="0"/>
              <w:left w:val="nil"/>
              <w:bottom w:val="single" w:color="auto" w:sz="4" w:space="0"/>
              <w:right w:val="single" w:color="auto" w:sz="4" w:space="0"/>
            </w:tcBorders>
            <w:vAlign w:val="center"/>
          </w:tcPr>
          <w:p w14:paraId="13ACE9DA">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1013918</w:t>
            </w:r>
          </w:p>
        </w:tc>
        <w:tc>
          <w:tcPr>
            <w:tcW w:w="1323" w:type="dxa"/>
            <w:tcBorders>
              <w:top w:val="single" w:color="auto" w:sz="4" w:space="0"/>
              <w:left w:val="nil"/>
              <w:bottom w:val="single" w:color="auto" w:sz="4" w:space="0"/>
              <w:right w:val="single" w:color="auto" w:sz="4" w:space="0"/>
            </w:tcBorders>
            <w:vAlign w:val="center"/>
          </w:tcPr>
          <w:p w14:paraId="6B9416C7">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999891</w:t>
            </w:r>
          </w:p>
        </w:tc>
        <w:tc>
          <w:tcPr>
            <w:tcW w:w="1323" w:type="dxa"/>
            <w:gridSpan w:val="2"/>
            <w:tcBorders>
              <w:top w:val="single" w:color="auto" w:sz="4" w:space="0"/>
              <w:left w:val="nil"/>
              <w:bottom w:val="single" w:color="auto" w:sz="4" w:space="0"/>
              <w:right w:val="single" w:color="auto" w:sz="4" w:space="0"/>
            </w:tcBorders>
            <w:vAlign w:val="center"/>
          </w:tcPr>
          <w:p w14:paraId="2B3AAE2E">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14027</w:t>
            </w:r>
          </w:p>
        </w:tc>
        <w:tc>
          <w:tcPr>
            <w:tcW w:w="1714" w:type="dxa"/>
            <w:gridSpan w:val="2"/>
            <w:tcBorders>
              <w:top w:val="single" w:color="auto" w:sz="4" w:space="0"/>
              <w:left w:val="nil"/>
              <w:bottom w:val="single" w:color="auto" w:sz="4" w:space="0"/>
              <w:right w:val="single" w:color="auto" w:sz="4" w:space="0"/>
            </w:tcBorders>
            <w:vAlign w:val="center"/>
          </w:tcPr>
          <w:p w14:paraId="0538E51E">
            <w:pPr>
              <w:widowControl/>
              <w:ind w:left="0" w:leftChars="0" w:right="0" w:rightChars="0" w:firstLine="0" w:firstLineChars="0"/>
              <w:jc w:val="center"/>
              <w:rPr>
                <w:rFonts w:hint="eastAsia" w:ascii="仿宋_GB2312" w:hAnsi="仿宋_GB2312" w:eastAsia="仿宋_GB2312" w:cs="仿宋_GB2312"/>
                <w:b/>
                <w:bCs/>
                <w:kern w:val="0"/>
                <w:sz w:val="24"/>
                <w:szCs w:val="24"/>
              </w:rPr>
            </w:pPr>
          </w:p>
        </w:tc>
      </w:tr>
      <w:tr w14:paraId="4CBC892C">
        <w:tblPrEx>
          <w:tblCellMar>
            <w:top w:w="0" w:type="dxa"/>
            <w:left w:w="108" w:type="dxa"/>
            <w:bottom w:w="0" w:type="dxa"/>
            <w:right w:w="108" w:type="dxa"/>
          </w:tblCellMar>
        </w:tblPrEx>
        <w:trPr>
          <w:trHeight w:val="567" w:hRule="exact"/>
          <w:jc w:val="center"/>
        </w:trPr>
        <w:tc>
          <w:tcPr>
            <w:tcW w:w="724" w:type="dxa"/>
            <w:vMerge w:val="restart"/>
            <w:tcBorders>
              <w:top w:val="single" w:color="auto" w:sz="4" w:space="0"/>
              <w:left w:val="single" w:color="auto" w:sz="4" w:space="0"/>
              <w:right w:val="single" w:color="auto" w:sz="4" w:space="0"/>
            </w:tcBorders>
            <w:vAlign w:val="center"/>
          </w:tcPr>
          <w:p w14:paraId="0263E04B">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w:t>
            </w:r>
          </w:p>
        </w:tc>
        <w:tc>
          <w:tcPr>
            <w:tcW w:w="2446" w:type="dxa"/>
            <w:vMerge w:val="restart"/>
            <w:tcBorders>
              <w:top w:val="single" w:color="auto" w:sz="4" w:space="0"/>
              <w:left w:val="nil"/>
              <w:right w:val="single" w:color="auto" w:sz="4" w:space="0"/>
            </w:tcBorders>
            <w:vAlign w:val="center"/>
          </w:tcPr>
          <w:p w14:paraId="4CA04DCD">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东溪路污水管渗漏整改及金牛路污水外冒段植草沟整改项目</w:t>
            </w:r>
          </w:p>
        </w:tc>
        <w:tc>
          <w:tcPr>
            <w:tcW w:w="1323" w:type="dxa"/>
            <w:tcBorders>
              <w:top w:val="single" w:color="auto" w:sz="4" w:space="0"/>
              <w:left w:val="nil"/>
              <w:bottom w:val="single" w:color="auto" w:sz="4" w:space="0"/>
              <w:right w:val="single" w:color="auto" w:sz="4" w:space="0"/>
            </w:tcBorders>
            <w:vAlign w:val="center"/>
          </w:tcPr>
          <w:p w14:paraId="3CD57FED">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132066</w:t>
            </w:r>
          </w:p>
        </w:tc>
        <w:tc>
          <w:tcPr>
            <w:tcW w:w="1323" w:type="dxa"/>
            <w:tcBorders>
              <w:top w:val="single" w:color="auto" w:sz="4" w:space="0"/>
              <w:left w:val="nil"/>
              <w:bottom w:val="single" w:color="auto" w:sz="4" w:space="0"/>
              <w:right w:val="single" w:color="auto" w:sz="4" w:space="0"/>
            </w:tcBorders>
            <w:vAlign w:val="center"/>
          </w:tcPr>
          <w:p w14:paraId="65997865">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125698</w:t>
            </w:r>
          </w:p>
        </w:tc>
        <w:tc>
          <w:tcPr>
            <w:tcW w:w="1323" w:type="dxa"/>
            <w:gridSpan w:val="2"/>
            <w:tcBorders>
              <w:top w:val="single" w:color="auto" w:sz="4" w:space="0"/>
              <w:left w:val="nil"/>
              <w:bottom w:val="single" w:color="auto" w:sz="4" w:space="0"/>
              <w:right w:val="single" w:color="auto" w:sz="4" w:space="0"/>
            </w:tcBorders>
            <w:vAlign w:val="center"/>
          </w:tcPr>
          <w:p w14:paraId="4BAC979A">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6368</w:t>
            </w:r>
          </w:p>
        </w:tc>
        <w:tc>
          <w:tcPr>
            <w:tcW w:w="1714" w:type="dxa"/>
            <w:gridSpan w:val="2"/>
            <w:tcBorders>
              <w:top w:val="single" w:color="auto" w:sz="4" w:space="0"/>
              <w:left w:val="nil"/>
              <w:bottom w:val="single" w:color="auto" w:sz="4" w:space="0"/>
              <w:right w:val="single" w:color="auto" w:sz="4" w:space="0"/>
            </w:tcBorders>
            <w:vAlign w:val="center"/>
          </w:tcPr>
          <w:p w14:paraId="3740D1C7">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金牛路段</w:t>
            </w:r>
          </w:p>
        </w:tc>
      </w:tr>
      <w:tr w14:paraId="28E6A06C">
        <w:tblPrEx>
          <w:tblCellMar>
            <w:top w:w="0" w:type="dxa"/>
            <w:left w:w="108" w:type="dxa"/>
            <w:bottom w:w="0" w:type="dxa"/>
            <w:right w:w="108" w:type="dxa"/>
          </w:tblCellMar>
        </w:tblPrEx>
        <w:trPr>
          <w:trHeight w:val="567" w:hRule="exact"/>
          <w:jc w:val="center"/>
        </w:trPr>
        <w:tc>
          <w:tcPr>
            <w:tcW w:w="724" w:type="dxa"/>
            <w:vMerge w:val="continue"/>
            <w:tcBorders>
              <w:left w:val="single" w:color="auto" w:sz="4" w:space="0"/>
              <w:bottom w:val="single" w:color="auto" w:sz="4" w:space="0"/>
              <w:right w:val="single" w:color="auto" w:sz="4" w:space="0"/>
            </w:tcBorders>
            <w:vAlign w:val="center"/>
          </w:tcPr>
          <w:p w14:paraId="4AA93EB9">
            <w:pPr>
              <w:widowControl/>
              <w:ind w:left="0" w:leftChars="0" w:right="0" w:rightChars="0" w:firstLine="0" w:firstLineChars="0"/>
              <w:jc w:val="center"/>
              <w:rPr>
                <w:rFonts w:hint="eastAsia" w:ascii="仿宋_GB2312" w:hAnsi="仿宋_GB2312" w:eastAsia="仿宋_GB2312" w:cs="仿宋_GB2312"/>
                <w:kern w:val="0"/>
                <w:sz w:val="24"/>
                <w:szCs w:val="24"/>
              </w:rPr>
            </w:pPr>
          </w:p>
        </w:tc>
        <w:tc>
          <w:tcPr>
            <w:tcW w:w="2446" w:type="dxa"/>
            <w:vMerge w:val="continue"/>
            <w:tcBorders>
              <w:left w:val="nil"/>
              <w:bottom w:val="single" w:color="auto" w:sz="4" w:space="0"/>
              <w:right w:val="single" w:color="auto" w:sz="4" w:space="0"/>
            </w:tcBorders>
            <w:vAlign w:val="center"/>
          </w:tcPr>
          <w:p w14:paraId="59D82269">
            <w:pPr>
              <w:widowControl/>
              <w:ind w:left="0" w:leftChars="0" w:right="0" w:rightChars="0" w:firstLine="0" w:firstLineChars="0"/>
              <w:jc w:val="center"/>
              <w:rPr>
                <w:rFonts w:hint="eastAsia" w:ascii="仿宋_GB2312" w:hAnsi="仿宋_GB2312" w:eastAsia="仿宋_GB2312" w:cs="仿宋_GB2312"/>
                <w:kern w:val="0"/>
                <w:sz w:val="24"/>
                <w:szCs w:val="24"/>
              </w:rPr>
            </w:pPr>
          </w:p>
        </w:tc>
        <w:tc>
          <w:tcPr>
            <w:tcW w:w="1323" w:type="dxa"/>
            <w:tcBorders>
              <w:top w:val="single" w:color="auto" w:sz="4" w:space="0"/>
              <w:left w:val="nil"/>
              <w:bottom w:val="single" w:color="auto" w:sz="4" w:space="0"/>
              <w:right w:val="single" w:color="auto" w:sz="4" w:space="0"/>
            </w:tcBorders>
            <w:vAlign w:val="center"/>
          </w:tcPr>
          <w:p w14:paraId="53AD02DD">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154680</w:t>
            </w:r>
          </w:p>
        </w:tc>
        <w:tc>
          <w:tcPr>
            <w:tcW w:w="1323" w:type="dxa"/>
            <w:tcBorders>
              <w:top w:val="single" w:color="auto" w:sz="4" w:space="0"/>
              <w:left w:val="nil"/>
              <w:bottom w:val="single" w:color="auto" w:sz="4" w:space="0"/>
              <w:right w:val="single" w:color="auto" w:sz="4" w:space="0"/>
            </w:tcBorders>
            <w:vAlign w:val="center"/>
          </w:tcPr>
          <w:p w14:paraId="2F53C7A1">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153845</w:t>
            </w:r>
          </w:p>
        </w:tc>
        <w:tc>
          <w:tcPr>
            <w:tcW w:w="1323" w:type="dxa"/>
            <w:gridSpan w:val="2"/>
            <w:tcBorders>
              <w:top w:val="single" w:color="auto" w:sz="4" w:space="0"/>
              <w:left w:val="nil"/>
              <w:bottom w:val="single" w:color="auto" w:sz="4" w:space="0"/>
              <w:right w:val="single" w:color="auto" w:sz="4" w:space="0"/>
            </w:tcBorders>
            <w:vAlign w:val="center"/>
          </w:tcPr>
          <w:p w14:paraId="3C1E422E">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835</w:t>
            </w:r>
          </w:p>
        </w:tc>
        <w:tc>
          <w:tcPr>
            <w:tcW w:w="1714" w:type="dxa"/>
            <w:gridSpan w:val="2"/>
            <w:tcBorders>
              <w:top w:val="single" w:color="auto" w:sz="4" w:space="0"/>
              <w:left w:val="nil"/>
              <w:bottom w:val="single" w:color="auto" w:sz="4" w:space="0"/>
              <w:right w:val="single" w:color="auto" w:sz="4" w:space="0"/>
            </w:tcBorders>
            <w:vAlign w:val="center"/>
          </w:tcPr>
          <w:p w14:paraId="6FDDBE9E">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东溪路段</w:t>
            </w:r>
          </w:p>
        </w:tc>
      </w:tr>
      <w:tr w14:paraId="42016560">
        <w:tblPrEx>
          <w:tblCellMar>
            <w:top w:w="0" w:type="dxa"/>
            <w:left w:w="108" w:type="dxa"/>
            <w:bottom w:w="0" w:type="dxa"/>
            <w:right w:w="108" w:type="dxa"/>
          </w:tblCellMar>
        </w:tblPrEx>
        <w:trPr>
          <w:trHeight w:val="714" w:hRule="exact"/>
          <w:jc w:val="center"/>
        </w:trPr>
        <w:tc>
          <w:tcPr>
            <w:tcW w:w="724" w:type="dxa"/>
            <w:tcBorders>
              <w:top w:val="single" w:color="auto" w:sz="4" w:space="0"/>
              <w:left w:val="single" w:color="auto" w:sz="4" w:space="0"/>
              <w:bottom w:val="single" w:color="auto" w:sz="4" w:space="0"/>
              <w:right w:val="single" w:color="auto" w:sz="4" w:space="0"/>
            </w:tcBorders>
            <w:vAlign w:val="center"/>
          </w:tcPr>
          <w:p w14:paraId="47D68D71">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2</w:t>
            </w:r>
          </w:p>
        </w:tc>
        <w:tc>
          <w:tcPr>
            <w:tcW w:w="2446" w:type="dxa"/>
            <w:tcBorders>
              <w:top w:val="single" w:color="auto" w:sz="4" w:space="0"/>
              <w:left w:val="nil"/>
              <w:bottom w:val="single" w:color="auto" w:sz="4" w:space="0"/>
              <w:right w:val="single" w:color="auto" w:sz="4" w:space="0"/>
            </w:tcBorders>
            <w:vAlign w:val="center"/>
          </w:tcPr>
          <w:p w14:paraId="0CFCF9A7">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聚宝雨水泵站生态滤池主出水管改造项目</w:t>
            </w:r>
          </w:p>
        </w:tc>
        <w:tc>
          <w:tcPr>
            <w:tcW w:w="1323" w:type="dxa"/>
            <w:tcBorders>
              <w:top w:val="single" w:color="auto" w:sz="4" w:space="0"/>
              <w:left w:val="nil"/>
              <w:bottom w:val="single" w:color="auto" w:sz="4" w:space="0"/>
              <w:right w:val="single" w:color="auto" w:sz="4" w:space="0"/>
            </w:tcBorders>
            <w:vAlign w:val="center"/>
          </w:tcPr>
          <w:p w14:paraId="600227B9">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151872</w:t>
            </w:r>
          </w:p>
        </w:tc>
        <w:tc>
          <w:tcPr>
            <w:tcW w:w="1323" w:type="dxa"/>
            <w:tcBorders>
              <w:top w:val="single" w:color="auto" w:sz="4" w:space="0"/>
              <w:left w:val="nil"/>
              <w:bottom w:val="single" w:color="auto" w:sz="4" w:space="0"/>
              <w:right w:val="single" w:color="auto" w:sz="4" w:space="0"/>
            </w:tcBorders>
            <w:vAlign w:val="center"/>
          </w:tcPr>
          <w:p w14:paraId="4DBADCEA">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145759</w:t>
            </w:r>
          </w:p>
        </w:tc>
        <w:tc>
          <w:tcPr>
            <w:tcW w:w="1323" w:type="dxa"/>
            <w:gridSpan w:val="2"/>
            <w:tcBorders>
              <w:top w:val="single" w:color="auto" w:sz="4" w:space="0"/>
              <w:left w:val="nil"/>
              <w:bottom w:val="single" w:color="auto" w:sz="4" w:space="0"/>
              <w:right w:val="single" w:color="auto" w:sz="4" w:space="0"/>
            </w:tcBorders>
            <w:vAlign w:val="center"/>
          </w:tcPr>
          <w:p w14:paraId="14B9EEC0">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6113</w:t>
            </w:r>
          </w:p>
        </w:tc>
        <w:tc>
          <w:tcPr>
            <w:tcW w:w="1714" w:type="dxa"/>
            <w:gridSpan w:val="2"/>
            <w:tcBorders>
              <w:top w:val="single" w:color="auto" w:sz="4" w:space="0"/>
              <w:left w:val="nil"/>
              <w:bottom w:val="single" w:color="auto" w:sz="4" w:space="0"/>
              <w:right w:val="single" w:color="auto" w:sz="4" w:space="0"/>
            </w:tcBorders>
            <w:vAlign w:val="center"/>
          </w:tcPr>
          <w:p w14:paraId="3C090B40">
            <w:pPr>
              <w:widowControl/>
              <w:ind w:left="0" w:leftChars="0" w:right="0" w:rightChars="0" w:firstLine="0" w:firstLineChars="0"/>
              <w:jc w:val="center"/>
              <w:rPr>
                <w:rFonts w:hint="eastAsia" w:ascii="仿宋_GB2312" w:hAnsi="仿宋_GB2312" w:eastAsia="仿宋_GB2312" w:cs="仿宋_GB2312"/>
                <w:kern w:val="0"/>
                <w:sz w:val="24"/>
                <w:szCs w:val="24"/>
              </w:rPr>
            </w:pPr>
          </w:p>
        </w:tc>
      </w:tr>
      <w:tr w14:paraId="4EA97B46">
        <w:tblPrEx>
          <w:tblCellMar>
            <w:top w:w="0" w:type="dxa"/>
            <w:left w:w="108" w:type="dxa"/>
            <w:bottom w:w="0" w:type="dxa"/>
            <w:right w:w="108" w:type="dxa"/>
          </w:tblCellMar>
        </w:tblPrEx>
        <w:trPr>
          <w:trHeight w:val="710" w:hRule="exact"/>
          <w:jc w:val="center"/>
        </w:trPr>
        <w:tc>
          <w:tcPr>
            <w:tcW w:w="724" w:type="dxa"/>
            <w:tcBorders>
              <w:top w:val="single" w:color="auto" w:sz="4" w:space="0"/>
              <w:left w:val="single" w:color="auto" w:sz="4" w:space="0"/>
              <w:bottom w:val="single" w:color="auto" w:sz="4" w:space="0"/>
              <w:right w:val="single" w:color="auto" w:sz="4" w:space="0"/>
            </w:tcBorders>
            <w:vAlign w:val="center"/>
          </w:tcPr>
          <w:p w14:paraId="68B26277">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3</w:t>
            </w:r>
          </w:p>
        </w:tc>
        <w:tc>
          <w:tcPr>
            <w:tcW w:w="2446" w:type="dxa"/>
            <w:tcBorders>
              <w:top w:val="single" w:color="auto" w:sz="4" w:space="0"/>
              <w:left w:val="nil"/>
              <w:bottom w:val="single" w:color="auto" w:sz="4" w:space="0"/>
              <w:right w:val="single" w:color="auto" w:sz="4" w:space="0"/>
            </w:tcBorders>
            <w:vAlign w:val="center"/>
          </w:tcPr>
          <w:p w14:paraId="1E786222">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驮古堤雨水泵站设备改造</w:t>
            </w:r>
          </w:p>
        </w:tc>
        <w:tc>
          <w:tcPr>
            <w:tcW w:w="1323" w:type="dxa"/>
            <w:tcBorders>
              <w:top w:val="single" w:color="auto" w:sz="4" w:space="0"/>
              <w:left w:val="nil"/>
              <w:bottom w:val="single" w:color="auto" w:sz="4" w:space="0"/>
              <w:right w:val="single" w:color="auto" w:sz="4" w:space="0"/>
            </w:tcBorders>
            <w:vAlign w:val="center"/>
          </w:tcPr>
          <w:p w14:paraId="0B5976FD">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575301</w:t>
            </w:r>
          </w:p>
        </w:tc>
        <w:tc>
          <w:tcPr>
            <w:tcW w:w="1323" w:type="dxa"/>
            <w:tcBorders>
              <w:top w:val="single" w:color="auto" w:sz="4" w:space="0"/>
              <w:left w:val="nil"/>
              <w:bottom w:val="single" w:color="auto" w:sz="4" w:space="0"/>
              <w:right w:val="single" w:color="auto" w:sz="4" w:space="0"/>
            </w:tcBorders>
            <w:vAlign w:val="center"/>
          </w:tcPr>
          <w:p w14:paraId="02368A13">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574589</w:t>
            </w:r>
          </w:p>
        </w:tc>
        <w:tc>
          <w:tcPr>
            <w:tcW w:w="1323" w:type="dxa"/>
            <w:gridSpan w:val="2"/>
            <w:tcBorders>
              <w:top w:val="single" w:color="auto" w:sz="4" w:space="0"/>
              <w:left w:val="nil"/>
              <w:bottom w:val="single" w:color="auto" w:sz="4" w:space="0"/>
              <w:right w:val="single" w:color="auto" w:sz="4" w:space="0"/>
            </w:tcBorders>
            <w:vAlign w:val="center"/>
          </w:tcPr>
          <w:p w14:paraId="015BBD4B">
            <w:pPr>
              <w:widowControl/>
              <w:ind w:left="0" w:leftChars="0" w:right="0" w:rightChars="0" w:firstLine="0" w:firstLineChars="0"/>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712</w:t>
            </w:r>
          </w:p>
        </w:tc>
        <w:tc>
          <w:tcPr>
            <w:tcW w:w="1714" w:type="dxa"/>
            <w:gridSpan w:val="2"/>
            <w:tcBorders>
              <w:top w:val="single" w:color="auto" w:sz="4" w:space="0"/>
              <w:left w:val="nil"/>
              <w:bottom w:val="single" w:color="auto" w:sz="4" w:space="0"/>
              <w:right w:val="single" w:color="auto" w:sz="4" w:space="0"/>
            </w:tcBorders>
            <w:vAlign w:val="center"/>
          </w:tcPr>
          <w:p w14:paraId="3779972D">
            <w:pPr>
              <w:widowControl/>
              <w:ind w:left="0" w:leftChars="0" w:right="0" w:rightChars="0" w:firstLine="0" w:firstLineChars="0"/>
              <w:jc w:val="center"/>
              <w:rPr>
                <w:rFonts w:hint="eastAsia" w:ascii="仿宋_GB2312" w:hAnsi="仿宋_GB2312" w:eastAsia="仿宋_GB2312" w:cs="仿宋_GB2312"/>
                <w:kern w:val="0"/>
                <w:sz w:val="24"/>
                <w:szCs w:val="24"/>
              </w:rPr>
            </w:pPr>
          </w:p>
        </w:tc>
      </w:tr>
      <w:tr w14:paraId="14CB093B">
        <w:tblPrEx>
          <w:tblCellMar>
            <w:top w:w="0" w:type="dxa"/>
            <w:left w:w="108" w:type="dxa"/>
            <w:bottom w:w="0" w:type="dxa"/>
            <w:right w:w="108" w:type="dxa"/>
          </w:tblCellMar>
        </w:tblPrEx>
        <w:trPr>
          <w:trHeight w:val="567" w:hRule="exact"/>
          <w:jc w:val="center"/>
        </w:trPr>
        <w:tc>
          <w:tcPr>
            <w:tcW w:w="724" w:type="dxa"/>
            <w:tcBorders>
              <w:top w:val="single" w:color="auto" w:sz="4" w:space="0"/>
              <w:left w:val="single" w:color="auto" w:sz="4" w:space="0"/>
              <w:bottom w:val="single" w:color="auto" w:sz="4" w:space="0"/>
              <w:right w:val="single" w:color="auto" w:sz="4" w:space="0"/>
            </w:tcBorders>
            <w:vAlign w:val="center"/>
          </w:tcPr>
          <w:p w14:paraId="75A2731A">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二</w:t>
            </w:r>
          </w:p>
        </w:tc>
        <w:tc>
          <w:tcPr>
            <w:tcW w:w="2446" w:type="dxa"/>
            <w:tcBorders>
              <w:top w:val="single" w:color="auto" w:sz="4" w:space="0"/>
              <w:left w:val="nil"/>
              <w:bottom w:val="single" w:color="auto" w:sz="4" w:space="0"/>
              <w:right w:val="single" w:color="auto" w:sz="4" w:space="0"/>
            </w:tcBorders>
            <w:vAlign w:val="center"/>
          </w:tcPr>
          <w:p w14:paraId="7426A0A8">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前期费</w:t>
            </w:r>
          </w:p>
        </w:tc>
        <w:tc>
          <w:tcPr>
            <w:tcW w:w="1323" w:type="dxa"/>
            <w:tcBorders>
              <w:top w:val="single" w:color="auto" w:sz="4" w:space="0"/>
              <w:left w:val="nil"/>
              <w:bottom w:val="single" w:color="auto" w:sz="4" w:space="0"/>
              <w:right w:val="single" w:color="auto" w:sz="4" w:space="0"/>
            </w:tcBorders>
            <w:vAlign w:val="center"/>
          </w:tcPr>
          <w:p w14:paraId="08EE42BF">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64150</w:t>
            </w:r>
          </w:p>
        </w:tc>
        <w:tc>
          <w:tcPr>
            <w:tcW w:w="1323" w:type="dxa"/>
            <w:tcBorders>
              <w:top w:val="single" w:color="auto" w:sz="4" w:space="0"/>
              <w:left w:val="nil"/>
              <w:bottom w:val="single" w:color="auto" w:sz="4" w:space="0"/>
              <w:right w:val="single" w:color="auto" w:sz="4" w:space="0"/>
            </w:tcBorders>
            <w:vAlign w:val="center"/>
          </w:tcPr>
          <w:p w14:paraId="37835AA6">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61363</w:t>
            </w:r>
          </w:p>
        </w:tc>
        <w:tc>
          <w:tcPr>
            <w:tcW w:w="1323" w:type="dxa"/>
            <w:gridSpan w:val="2"/>
            <w:tcBorders>
              <w:top w:val="single" w:color="auto" w:sz="4" w:space="0"/>
              <w:left w:val="nil"/>
              <w:bottom w:val="single" w:color="auto" w:sz="4" w:space="0"/>
              <w:right w:val="single" w:color="auto" w:sz="4" w:space="0"/>
            </w:tcBorders>
            <w:vAlign w:val="center"/>
          </w:tcPr>
          <w:p w14:paraId="45397429">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2788</w:t>
            </w:r>
          </w:p>
        </w:tc>
        <w:tc>
          <w:tcPr>
            <w:tcW w:w="1714" w:type="dxa"/>
            <w:gridSpan w:val="2"/>
            <w:tcBorders>
              <w:top w:val="single" w:color="auto" w:sz="4" w:space="0"/>
              <w:left w:val="nil"/>
              <w:bottom w:val="single" w:color="auto" w:sz="4" w:space="0"/>
              <w:right w:val="single" w:color="auto" w:sz="4" w:space="0"/>
            </w:tcBorders>
            <w:vAlign w:val="center"/>
          </w:tcPr>
          <w:p w14:paraId="482A2B46">
            <w:pPr>
              <w:widowControl/>
              <w:ind w:left="0" w:leftChars="0" w:right="0" w:rightChars="0" w:firstLine="0" w:firstLineChars="0"/>
              <w:jc w:val="center"/>
              <w:rPr>
                <w:rFonts w:hint="eastAsia" w:ascii="仿宋_GB2312" w:hAnsi="仿宋_GB2312" w:eastAsia="仿宋_GB2312" w:cs="仿宋_GB2312"/>
                <w:b/>
                <w:bCs/>
                <w:kern w:val="0"/>
                <w:sz w:val="24"/>
                <w:szCs w:val="24"/>
              </w:rPr>
            </w:pPr>
          </w:p>
        </w:tc>
      </w:tr>
      <w:tr w14:paraId="0E93919D">
        <w:tblPrEx>
          <w:tblCellMar>
            <w:top w:w="0" w:type="dxa"/>
            <w:left w:w="108" w:type="dxa"/>
            <w:bottom w:w="0" w:type="dxa"/>
            <w:right w:w="108" w:type="dxa"/>
          </w:tblCellMar>
        </w:tblPrEx>
        <w:trPr>
          <w:trHeight w:val="567" w:hRule="exact"/>
          <w:jc w:val="center"/>
        </w:trPr>
        <w:tc>
          <w:tcPr>
            <w:tcW w:w="724" w:type="dxa"/>
            <w:tcBorders>
              <w:top w:val="nil"/>
              <w:left w:val="single" w:color="auto" w:sz="4" w:space="0"/>
              <w:bottom w:val="single" w:color="auto" w:sz="4" w:space="0"/>
              <w:right w:val="single" w:color="auto" w:sz="4" w:space="0"/>
            </w:tcBorders>
            <w:vAlign w:val="center"/>
          </w:tcPr>
          <w:p w14:paraId="4C2DC605">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三</w:t>
            </w:r>
          </w:p>
        </w:tc>
        <w:tc>
          <w:tcPr>
            <w:tcW w:w="2446" w:type="dxa"/>
            <w:tcBorders>
              <w:top w:val="nil"/>
              <w:left w:val="nil"/>
              <w:bottom w:val="single" w:color="auto" w:sz="4" w:space="0"/>
              <w:right w:val="single" w:color="auto" w:sz="4" w:space="0"/>
            </w:tcBorders>
            <w:noWrap/>
            <w:vAlign w:val="center"/>
          </w:tcPr>
          <w:p w14:paraId="13128064">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不可预见费</w:t>
            </w:r>
          </w:p>
        </w:tc>
        <w:tc>
          <w:tcPr>
            <w:tcW w:w="1323" w:type="dxa"/>
            <w:tcBorders>
              <w:top w:val="nil"/>
              <w:left w:val="nil"/>
              <w:bottom w:val="single" w:color="auto" w:sz="4" w:space="0"/>
              <w:right w:val="single" w:color="auto" w:sz="4" w:space="0"/>
            </w:tcBorders>
            <w:noWrap/>
            <w:vAlign w:val="center"/>
          </w:tcPr>
          <w:p w14:paraId="47D4363F">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41732</w:t>
            </w:r>
          </w:p>
        </w:tc>
        <w:tc>
          <w:tcPr>
            <w:tcW w:w="1323" w:type="dxa"/>
            <w:tcBorders>
              <w:top w:val="nil"/>
              <w:left w:val="nil"/>
              <w:bottom w:val="single" w:color="auto" w:sz="4" w:space="0"/>
              <w:right w:val="single" w:color="auto" w:sz="4" w:space="0"/>
            </w:tcBorders>
            <w:noWrap/>
            <w:vAlign w:val="center"/>
          </w:tcPr>
          <w:p w14:paraId="3331F863">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49995</w:t>
            </w:r>
          </w:p>
        </w:tc>
        <w:tc>
          <w:tcPr>
            <w:tcW w:w="1323" w:type="dxa"/>
            <w:gridSpan w:val="2"/>
            <w:tcBorders>
              <w:top w:val="nil"/>
              <w:left w:val="nil"/>
              <w:bottom w:val="single" w:color="auto" w:sz="4" w:space="0"/>
              <w:right w:val="single" w:color="auto" w:sz="4" w:space="0"/>
            </w:tcBorders>
            <w:vAlign w:val="center"/>
          </w:tcPr>
          <w:p w14:paraId="1F12BE37">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-8263</w:t>
            </w:r>
          </w:p>
        </w:tc>
        <w:tc>
          <w:tcPr>
            <w:tcW w:w="1714" w:type="dxa"/>
            <w:gridSpan w:val="2"/>
            <w:tcBorders>
              <w:top w:val="nil"/>
              <w:left w:val="nil"/>
              <w:bottom w:val="single" w:color="auto" w:sz="4" w:space="0"/>
              <w:right w:val="single" w:color="auto" w:sz="4" w:space="0"/>
            </w:tcBorders>
            <w:vAlign w:val="center"/>
          </w:tcPr>
          <w:p w14:paraId="2D180C10">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工程费的5%</w:t>
            </w:r>
          </w:p>
        </w:tc>
      </w:tr>
      <w:tr w14:paraId="67F897D0">
        <w:tblPrEx>
          <w:tblCellMar>
            <w:top w:w="0" w:type="dxa"/>
            <w:left w:w="108" w:type="dxa"/>
            <w:bottom w:w="0" w:type="dxa"/>
            <w:right w:w="108" w:type="dxa"/>
          </w:tblCellMar>
        </w:tblPrEx>
        <w:trPr>
          <w:trHeight w:val="567" w:hRule="exact"/>
          <w:jc w:val="center"/>
        </w:trPr>
        <w:tc>
          <w:tcPr>
            <w:tcW w:w="724" w:type="dxa"/>
            <w:tcBorders>
              <w:top w:val="nil"/>
              <w:left w:val="single" w:color="auto" w:sz="4" w:space="0"/>
              <w:bottom w:val="single" w:color="auto" w:sz="4" w:space="0"/>
              <w:right w:val="single" w:color="auto" w:sz="4" w:space="0"/>
            </w:tcBorders>
            <w:vAlign w:val="center"/>
          </w:tcPr>
          <w:p w14:paraId="4E45F8AB">
            <w:pPr>
              <w:widowControl/>
              <w:ind w:left="0" w:leftChars="0" w:right="0" w:rightChars="0" w:firstLine="0" w:firstLineChars="0"/>
              <w:jc w:val="center"/>
              <w:rPr>
                <w:rFonts w:hint="eastAsia" w:ascii="仿宋_GB2312" w:hAnsi="仿宋_GB2312" w:eastAsia="仿宋_GB2312" w:cs="仿宋_GB2312"/>
                <w:b/>
                <w:bCs/>
                <w:kern w:val="0"/>
                <w:sz w:val="24"/>
                <w:szCs w:val="24"/>
              </w:rPr>
            </w:pPr>
          </w:p>
        </w:tc>
        <w:tc>
          <w:tcPr>
            <w:tcW w:w="2446" w:type="dxa"/>
            <w:tcBorders>
              <w:top w:val="nil"/>
              <w:left w:val="nil"/>
              <w:bottom w:val="single" w:color="auto" w:sz="4" w:space="0"/>
              <w:right w:val="single" w:color="auto" w:sz="4" w:space="0"/>
            </w:tcBorders>
            <w:vAlign w:val="center"/>
          </w:tcPr>
          <w:p w14:paraId="6D61A0A5">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合  计</w:t>
            </w:r>
          </w:p>
        </w:tc>
        <w:tc>
          <w:tcPr>
            <w:tcW w:w="1323" w:type="dxa"/>
            <w:tcBorders>
              <w:top w:val="nil"/>
              <w:left w:val="nil"/>
              <w:bottom w:val="single" w:color="auto" w:sz="4" w:space="0"/>
              <w:right w:val="single" w:color="auto" w:sz="4" w:space="0"/>
            </w:tcBorders>
            <w:vAlign w:val="center"/>
          </w:tcPr>
          <w:p w14:paraId="555CC2B1">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1119800</w:t>
            </w:r>
          </w:p>
        </w:tc>
        <w:tc>
          <w:tcPr>
            <w:tcW w:w="1323" w:type="dxa"/>
            <w:tcBorders>
              <w:top w:val="nil"/>
              <w:left w:val="nil"/>
              <w:bottom w:val="single" w:color="auto" w:sz="4" w:space="0"/>
              <w:right w:val="single" w:color="auto" w:sz="4" w:space="0"/>
            </w:tcBorders>
            <w:vAlign w:val="center"/>
          </w:tcPr>
          <w:p w14:paraId="62A5D7BE">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1111249</w:t>
            </w:r>
          </w:p>
        </w:tc>
        <w:tc>
          <w:tcPr>
            <w:tcW w:w="1323" w:type="dxa"/>
            <w:gridSpan w:val="2"/>
            <w:tcBorders>
              <w:top w:val="nil"/>
              <w:left w:val="nil"/>
              <w:bottom w:val="single" w:color="auto" w:sz="4" w:space="0"/>
              <w:right w:val="single" w:color="auto" w:sz="4" w:space="0"/>
            </w:tcBorders>
            <w:vAlign w:val="center"/>
          </w:tcPr>
          <w:p w14:paraId="0F526CE4">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8551</w:t>
            </w:r>
          </w:p>
        </w:tc>
        <w:tc>
          <w:tcPr>
            <w:tcW w:w="1714" w:type="dxa"/>
            <w:gridSpan w:val="2"/>
            <w:tcBorders>
              <w:top w:val="nil"/>
              <w:left w:val="nil"/>
              <w:bottom w:val="single" w:color="auto" w:sz="4" w:space="0"/>
              <w:right w:val="single" w:color="auto" w:sz="4" w:space="0"/>
            </w:tcBorders>
            <w:vAlign w:val="center"/>
          </w:tcPr>
          <w:p w14:paraId="68282AA3">
            <w:pPr>
              <w:widowControl/>
              <w:ind w:left="0" w:leftChars="0" w:right="0" w:rightChars="0" w:firstLine="0" w:firstLineChars="0"/>
              <w:jc w:val="center"/>
              <w:rPr>
                <w:rFonts w:hint="eastAsia"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审减率0.76%</w:t>
            </w:r>
          </w:p>
        </w:tc>
      </w:tr>
    </w:tbl>
    <w:p w14:paraId="46B5160B"/>
    <w:sectPr>
      <w:pgSz w:w="11906" w:h="16838"/>
      <w:pgMar w:top="2154" w:right="1531" w:bottom="1440" w:left="153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F44AC6"/>
    <w:multiLevelType w:val="singleLevel"/>
    <w:tmpl w:val="B9F44AC6"/>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5C95"/>
    <w:rsid w:val="00000756"/>
    <w:rsid w:val="00025EF9"/>
    <w:rsid w:val="00064540"/>
    <w:rsid w:val="00075C91"/>
    <w:rsid w:val="00085B23"/>
    <w:rsid w:val="000B4B65"/>
    <w:rsid w:val="000C44C1"/>
    <w:rsid w:val="000D7930"/>
    <w:rsid w:val="001215E9"/>
    <w:rsid w:val="00124BA6"/>
    <w:rsid w:val="001479F8"/>
    <w:rsid w:val="001519EB"/>
    <w:rsid w:val="001618B3"/>
    <w:rsid w:val="0017144D"/>
    <w:rsid w:val="001A5651"/>
    <w:rsid w:val="001D3584"/>
    <w:rsid w:val="002214CC"/>
    <w:rsid w:val="00224739"/>
    <w:rsid w:val="002550DA"/>
    <w:rsid w:val="0026065F"/>
    <w:rsid w:val="00293F9D"/>
    <w:rsid w:val="002A76CD"/>
    <w:rsid w:val="00304E74"/>
    <w:rsid w:val="0030666D"/>
    <w:rsid w:val="003176D1"/>
    <w:rsid w:val="00320702"/>
    <w:rsid w:val="003459A7"/>
    <w:rsid w:val="00351C65"/>
    <w:rsid w:val="00355006"/>
    <w:rsid w:val="00373E43"/>
    <w:rsid w:val="003C1927"/>
    <w:rsid w:val="003C6EB4"/>
    <w:rsid w:val="003D0A6A"/>
    <w:rsid w:val="003D0D65"/>
    <w:rsid w:val="003D7332"/>
    <w:rsid w:val="0041041D"/>
    <w:rsid w:val="0043012E"/>
    <w:rsid w:val="004746CE"/>
    <w:rsid w:val="00484DFC"/>
    <w:rsid w:val="00495F9E"/>
    <w:rsid w:val="004A70E5"/>
    <w:rsid w:val="004D08C3"/>
    <w:rsid w:val="004D30DC"/>
    <w:rsid w:val="004D7816"/>
    <w:rsid w:val="004F2C97"/>
    <w:rsid w:val="00503A16"/>
    <w:rsid w:val="00520938"/>
    <w:rsid w:val="00530125"/>
    <w:rsid w:val="00577167"/>
    <w:rsid w:val="00583A26"/>
    <w:rsid w:val="00597761"/>
    <w:rsid w:val="005C1516"/>
    <w:rsid w:val="005C25C6"/>
    <w:rsid w:val="005E03B0"/>
    <w:rsid w:val="00610CBD"/>
    <w:rsid w:val="00617840"/>
    <w:rsid w:val="00626A58"/>
    <w:rsid w:val="006365E1"/>
    <w:rsid w:val="00643849"/>
    <w:rsid w:val="0065511E"/>
    <w:rsid w:val="00660AA0"/>
    <w:rsid w:val="006725B2"/>
    <w:rsid w:val="00682E0F"/>
    <w:rsid w:val="00684E64"/>
    <w:rsid w:val="006908F6"/>
    <w:rsid w:val="006A27EB"/>
    <w:rsid w:val="006E1677"/>
    <w:rsid w:val="006F4ED8"/>
    <w:rsid w:val="007278C1"/>
    <w:rsid w:val="007557E4"/>
    <w:rsid w:val="007674DA"/>
    <w:rsid w:val="00783187"/>
    <w:rsid w:val="00790560"/>
    <w:rsid w:val="00792B95"/>
    <w:rsid w:val="007977F1"/>
    <w:rsid w:val="007D5A6D"/>
    <w:rsid w:val="008207CC"/>
    <w:rsid w:val="008509FA"/>
    <w:rsid w:val="00856407"/>
    <w:rsid w:val="00885C95"/>
    <w:rsid w:val="008949B8"/>
    <w:rsid w:val="008A6C21"/>
    <w:rsid w:val="008C2C9A"/>
    <w:rsid w:val="008C6E6E"/>
    <w:rsid w:val="008C707E"/>
    <w:rsid w:val="008F2EC2"/>
    <w:rsid w:val="00934E3C"/>
    <w:rsid w:val="0095095D"/>
    <w:rsid w:val="00960F82"/>
    <w:rsid w:val="00966580"/>
    <w:rsid w:val="009729BD"/>
    <w:rsid w:val="00983433"/>
    <w:rsid w:val="00987E15"/>
    <w:rsid w:val="009A5363"/>
    <w:rsid w:val="009D0076"/>
    <w:rsid w:val="009D294F"/>
    <w:rsid w:val="009E1678"/>
    <w:rsid w:val="009E3873"/>
    <w:rsid w:val="009E3E4E"/>
    <w:rsid w:val="00A062DD"/>
    <w:rsid w:val="00A20CF8"/>
    <w:rsid w:val="00A35B5E"/>
    <w:rsid w:val="00A605B7"/>
    <w:rsid w:val="00A83634"/>
    <w:rsid w:val="00A93643"/>
    <w:rsid w:val="00AC0860"/>
    <w:rsid w:val="00AE318F"/>
    <w:rsid w:val="00B06C10"/>
    <w:rsid w:val="00B10D36"/>
    <w:rsid w:val="00B131C8"/>
    <w:rsid w:val="00B13E31"/>
    <w:rsid w:val="00B15CD2"/>
    <w:rsid w:val="00B1676F"/>
    <w:rsid w:val="00B20419"/>
    <w:rsid w:val="00B57111"/>
    <w:rsid w:val="00B657AE"/>
    <w:rsid w:val="00B90FD1"/>
    <w:rsid w:val="00B97A21"/>
    <w:rsid w:val="00BD0A19"/>
    <w:rsid w:val="00BD2724"/>
    <w:rsid w:val="00BE106C"/>
    <w:rsid w:val="00BF1B1B"/>
    <w:rsid w:val="00C160E8"/>
    <w:rsid w:val="00C3151B"/>
    <w:rsid w:val="00C348DE"/>
    <w:rsid w:val="00C363A1"/>
    <w:rsid w:val="00C46AC7"/>
    <w:rsid w:val="00C46B2D"/>
    <w:rsid w:val="00C508F7"/>
    <w:rsid w:val="00C60121"/>
    <w:rsid w:val="00C810E0"/>
    <w:rsid w:val="00C879BE"/>
    <w:rsid w:val="00CB2A73"/>
    <w:rsid w:val="00CC1F81"/>
    <w:rsid w:val="00CC2E38"/>
    <w:rsid w:val="00CE624E"/>
    <w:rsid w:val="00D2023B"/>
    <w:rsid w:val="00D36C1E"/>
    <w:rsid w:val="00D40239"/>
    <w:rsid w:val="00D45129"/>
    <w:rsid w:val="00D505AA"/>
    <w:rsid w:val="00D55755"/>
    <w:rsid w:val="00D62C9B"/>
    <w:rsid w:val="00D83731"/>
    <w:rsid w:val="00DA4780"/>
    <w:rsid w:val="00DB1BF1"/>
    <w:rsid w:val="00DC4F9D"/>
    <w:rsid w:val="00DC5B31"/>
    <w:rsid w:val="00DD1AAC"/>
    <w:rsid w:val="00DD2057"/>
    <w:rsid w:val="00DD3415"/>
    <w:rsid w:val="00DD50BB"/>
    <w:rsid w:val="00DE41FE"/>
    <w:rsid w:val="00E11B9E"/>
    <w:rsid w:val="00E14D9A"/>
    <w:rsid w:val="00E254A1"/>
    <w:rsid w:val="00E25CB4"/>
    <w:rsid w:val="00E33FB4"/>
    <w:rsid w:val="00E55C78"/>
    <w:rsid w:val="00E823FE"/>
    <w:rsid w:val="00EA1D21"/>
    <w:rsid w:val="00EA30A8"/>
    <w:rsid w:val="00EB1CA6"/>
    <w:rsid w:val="00ED1673"/>
    <w:rsid w:val="00EE7108"/>
    <w:rsid w:val="00F67CB7"/>
    <w:rsid w:val="00F77A9B"/>
    <w:rsid w:val="00F85FF3"/>
    <w:rsid w:val="00FB53DA"/>
    <w:rsid w:val="00FD5986"/>
    <w:rsid w:val="00FE121F"/>
    <w:rsid w:val="00FE4C73"/>
    <w:rsid w:val="00FF324F"/>
    <w:rsid w:val="00FF49B4"/>
    <w:rsid w:val="3D9C7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qFormat="1"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4">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5">
    <w:name w:val="heading 3"/>
    <w:basedOn w:val="1"/>
    <w:next w:val="1"/>
    <w:link w:val="24"/>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6">
    <w:name w:val="heading 4"/>
    <w:basedOn w:val="1"/>
    <w:next w:val="1"/>
    <w:link w:val="25"/>
    <w:semiHidden/>
    <w:unhideWhenUsed/>
    <w:qFormat/>
    <w:uiPriority w:val="9"/>
    <w:pPr>
      <w:keepNext/>
      <w:keepLines/>
      <w:spacing w:before="80" w:after="40"/>
      <w:outlineLvl w:val="3"/>
    </w:pPr>
    <w:rPr>
      <w:rFonts w:asciiTheme="minorHAnsi" w:hAnsiTheme="minorHAnsi" w:eastAsiaTheme="minorEastAsia" w:cstheme="majorBidi"/>
      <w:color w:val="2F5597" w:themeColor="accent1" w:themeShade="BF"/>
      <w:sz w:val="28"/>
      <w:szCs w:val="28"/>
    </w:rPr>
  </w:style>
  <w:style w:type="paragraph" w:styleId="7">
    <w:name w:val="heading 5"/>
    <w:basedOn w:val="1"/>
    <w:next w:val="1"/>
    <w:link w:val="26"/>
    <w:semiHidden/>
    <w:unhideWhenUsed/>
    <w:qFormat/>
    <w:uiPriority w:val="9"/>
    <w:pPr>
      <w:keepNext/>
      <w:keepLines/>
      <w:spacing w:before="80" w:after="40"/>
      <w:outlineLvl w:val="4"/>
    </w:pPr>
    <w:rPr>
      <w:rFonts w:asciiTheme="minorHAnsi" w:hAnsiTheme="minorHAnsi" w:eastAsiaTheme="minorEastAsia" w:cstheme="majorBidi"/>
      <w:color w:val="2F5597" w:themeColor="accent1" w:themeShade="BF"/>
      <w:sz w:val="24"/>
    </w:rPr>
  </w:style>
  <w:style w:type="paragraph" w:styleId="8">
    <w:name w:val="heading 6"/>
    <w:basedOn w:val="1"/>
    <w:next w:val="1"/>
    <w:link w:val="27"/>
    <w:semiHidden/>
    <w:unhideWhenUsed/>
    <w:qFormat/>
    <w:uiPriority w:val="9"/>
    <w:pPr>
      <w:keepNext/>
      <w:keepLines/>
      <w:spacing w:before="40"/>
      <w:outlineLvl w:val="5"/>
    </w:pPr>
    <w:rPr>
      <w:rFonts w:asciiTheme="minorHAnsi" w:hAnsiTheme="minorHAnsi" w:eastAsiaTheme="minorEastAsia" w:cstheme="majorBidi"/>
      <w:b/>
      <w:bCs/>
      <w:color w:val="2F5597" w:themeColor="accent1" w:themeShade="BF"/>
      <w:sz w:val="24"/>
    </w:rPr>
  </w:style>
  <w:style w:type="paragraph" w:styleId="9">
    <w:name w:val="heading 7"/>
    <w:basedOn w:val="1"/>
    <w:next w:val="1"/>
    <w:link w:val="28"/>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 w:val="24"/>
      <w14:textFill>
        <w14:solidFill>
          <w14:schemeClr w14:val="tx1">
            <w14:lumMod w14:val="65000"/>
            <w14:lumOff w14:val="35000"/>
          </w14:schemeClr>
        </w14:solidFill>
      </w14:textFill>
    </w:rPr>
  </w:style>
  <w:style w:type="paragraph" w:styleId="10">
    <w:name w:val="heading 8"/>
    <w:basedOn w:val="1"/>
    <w:next w:val="1"/>
    <w:link w:val="29"/>
    <w:semiHidden/>
    <w:unhideWhenUsed/>
    <w:qFormat/>
    <w:uiPriority w:val="9"/>
    <w:pPr>
      <w:keepNext/>
      <w:keepLines/>
      <w:outlineLvl w:val="7"/>
    </w:pPr>
    <w:rPr>
      <w:rFonts w:asciiTheme="minorHAnsi" w:hAnsiTheme="minorHAnsi" w:eastAsiaTheme="minorEastAsia" w:cstheme="majorBidi"/>
      <w:color w:val="595959" w:themeColor="text1" w:themeTint="A6"/>
      <w:sz w:val="24"/>
      <w14:textFill>
        <w14:solidFill>
          <w14:schemeClr w14:val="tx1">
            <w14:lumMod w14:val="65000"/>
            <w14:lumOff w14:val="35000"/>
          </w14:schemeClr>
        </w14:solidFill>
      </w14:textFill>
    </w:rPr>
  </w:style>
  <w:style w:type="paragraph" w:styleId="11">
    <w:name w:val="heading 9"/>
    <w:basedOn w:val="1"/>
    <w:next w:val="1"/>
    <w:link w:val="30"/>
    <w:semiHidden/>
    <w:unhideWhenUsed/>
    <w:qFormat/>
    <w:uiPriority w:val="9"/>
    <w:pPr>
      <w:keepNext/>
      <w:keepLines/>
      <w:outlineLvl w:val="8"/>
    </w:pPr>
    <w:rPr>
      <w:rFonts w:asciiTheme="minorHAnsi" w:hAnsiTheme="minorHAnsi" w:eastAsiaTheme="majorEastAsia" w:cstheme="majorBidi"/>
      <w:color w:val="595959" w:themeColor="text1" w:themeTint="A6"/>
      <w:sz w:val="24"/>
      <w14:textFill>
        <w14:solidFill>
          <w14:schemeClr w14:val="tx1">
            <w14:lumMod w14:val="65000"/>
            <w14:lumOff w14:val="35000"/>
          </w14:schemeClr>
        </w14:solidFill>
      </w14:textFill>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40"/>
    <w:qFormat/>
    <w:uiPriority w:val="0"/>
    <w:pPr>
      <w:spacing w:line="588" w:lineRule="atLeast"/>
    </w:pPr>
    <w:rPr>
      <w:rFonts w:eastAsia="方正仿宋_GBK"/>
      <w:spacing w:val="6"/>
      <w:sz w:val="30"/>
      <w:szCs w:val="22"/>
    </w:rPr>
  </w:style>
  <w:style w:type="paragraph" w:styleId="12">
    <w:name w:val="Body Text"/>
    <w:basedOn w:val="1"/>
    <w:next w:val="13"/>
    <w:link w:val="41"/>
    <w:semiHidden/>
    <w:qFormat/>
    <w:uiPriority w:val="0"/>
    <w:rPr>
      <w:rFonts w:ascii="Arial" w:hAnsi="Arial" w:eastAsia="Arial" w:cs="Arial"/>
      <w:szCs w:val="21"/>
      <w:lang w:eastAsia="en-US"/>
    </w:rPr>
  </w:style>
  <w:style w:type="paragraph" w:styleId="13">
    <w:name w:val="toc 9"/>
    <w:basedOn w:val="1"/>
    <w:next w:val="1"/>
    <w:autoRedefine/>
    <w:semiHidden/>
    <w:unhideWhenUsed/>
    <w:qFormat/>
    <w:uiPriority w:val="39"/>
    <w:pPr>
      <w:ind w:left="3360" w:leftChars="1600"/>
    </w:pPr>
  </w:style>
  <w:style w:type="paragraph" w:styleId="14">
    <w:name w:val="Body Text Indent"/>
    <w:basedOn w:val="1"/>
    <w:next w:val="15"/>
    <w:link w:val="42"/>
    <w:qFormat/>
    <w:uiPriority w:val="0"/>
    <w:pPr>
      <w:ind w:firstLine="600" w:firstLineChars="200"/>
    </w:pPr>
    <w:rPr>
      <w:rFonts w:eastAsia="仿宋_GB2312"/>
      <w:sz w:val="30"/>
    </w:rPr>
  </w:style>
  <w:style w:type="paragraph" w:styleId="15">
    <w:name w:val="envelope return"/>
    <w:basedOn w:val="1"/>
    <w:semiHidden/>
    <w:unhideWhenUsed/>
    <w:qFormat/>
    <w:uiPriority w:val="99"/>
    <w:pPr>
      <w:snapToGrid w:val="0"/>
    </w:pPr>
    <w:rPr>
      <w:rFonts w:asciiTheme="majorHAnsi" w:hAnsiTheme="majorHAnsi" w:eastAsiaTheme="majorEastAsia" w:cstheme="majorBidi"/>
    </w:rPr>
  </w:style>
  <w:style w:type="paragraph" w:styleId="16">
    <w:name w:val="footer"/>
    <w:basedOn w:val="1"/>
    <w:link w:val="44"/>
    <w:unhideWhenUsed/>
    <w:qFormat/>
    <w:uiPriority w:val="99"/>
    <w:pPr>
      <w:tabs>
        <w:tab w:val="center" w:pos="4153"/>
        <w:tab w:val="right" w:pos="8306"/>
      </w:tabs>
      <w:snapToGrid w:val="0"/>
      <w:jc w:val="left"/>
    </w:pPr>
    <w:rPr>
      <w:sz w:val="18"/>
      <w:szCs w:val="18"/>
    </w:rPr>
  </w:style>
  <w:style w:type="paragraph" w:styleId="17">
    <w:name w:val="header"/>
    <w:basedOn w:val="1"/>
    <w:link w:val="43"/>
    <w:unhideWhenUsed/>
    <w:qFormat/>
    <w:uiPriority w:val="99"/>
    <w:pPr>
      <w:tabs>
        <w:tab w:val="center" w:pos="4153"/>
        <w:tab w:val="right" w:pos="8306"/>
      </w:tabs>
      <w:snapToGrid w:val="0"/>
      <w:jc w:val="center"/>
    </w:pPr>
    <w:rPr>
      <w:sz w:val="18"/>
      <w:szCs w:val="18"/>
    </w:rPr>
  </w:style>
  <w:style w:type="paragraph" w:styleId="18">
    <w:name w:val="Subtitle"/>
    <w:basedOn w:val="1"/>
    <w:next w:val="1"/>
    <w:link w:val="32"/>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itle"/>
    <w:basedOn w:val="1"/>
    <w:next w:val="1"/>
    <w:link w:val="31"/>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2">
    <w:name w:val="标题 1 字符"/>
    <w:basedOn w:val="21"/>
    <w:link w:val="3"/>
    <w:qFormat/>
    <w:uiPriority w:val="9"/>
    <w:rPr>
      <w:rFonts w:asciiTheme="majorHAnsi" w:hAnsiTheme="majorHAnsi" w:eastAsiaTheme="majorEastAsia" w:cstheme="majorBidi"/>
      <w:color w:val="2F5597" w:themeColor="accent1" w:themeShade="BF"/>
      <w:sz w:val="48"/>
      <w:szCs w:val="48"/>
    </w:rPr>
  </w:style>
  <w:style w:type="character" w:customStyle="1" w:styleId="23">
    <w:name w:val="标题 2 字符"/>
    <w:basedOn w:val="21"/>
    <w:link w:val="4"/>
    <w:semiHidden/>
    <w:qFormat/>
    <w:uiPriority w:val="9"/>
    <w:rPr>
      <w:rFonts w:asciiTheme="majorHAnsi" w:hAnsiTheme="majorHAnsi" w:eastAsiaTheme="majorEastAsia" w:cstheme="majorBidi"/>
      <w:color w:val="2F5597" w:themeColor="accent1" w:themeShade="BF"/>
      <w:sz w:val="40"/>
      <w:szCs w:val="40"/>
    </w:rPr>
  </w:style>
  <w:style w:type="character" w:customStyle="1" w:styleId="24">
    <w:name w:val="标题 3 字符"/>
    <w:basedOn w:val="21"/>
    <w:link w:val="5"/>
    <w:semiHidden/>
    <w:qFormat/>
    <w:uiPriority w:val="9"/>
    <w:rPr>
      <w:rFonts w:asciiTheme="majorHAnsi" w:hAnsiTheme="majorHAnsi" w:eastAsiaTheme="majorEastAsia" w:cstheme="majorBidi"/>
      <w:color w:val="2F5597" w:themeColor="accent1" w:themeShade="BF"/>
      <w:sz w:val="32"/>
      <w:szCs w:val="32"/>
    </w:rPr>
  </w:style>
  <w:style w:type="character" w:customStyle="1" w:styleId="25">
    <w:name w:val="标题 4 字符"/>
    <w:basedOn w:val="21"/>
    <w:link w:val="6"/>
    <w:semiHidden/>
    <w:qFormat/>
    <w:uiPriority w:val="9"/>
    <w:rPr>
      <w:rFonts w:cstheme="majorBidi"/>
      <w:color w:val="2F5597" w:themeColor="accent1" w:themeShade="BF"/>
      <w:sz w:val="28"/>
      <w:szCs w:val="28"/>
    </w:rPr>
  </w:style>
  <w:style w:type="character" w:customStyle="1" w:styleId="26">
    <w:name w:val="标题 5 字符"/>
    <w:basedOn w:val="21"/>
    <w:link w:val="7"/>
    <w:semiHidden/>
    <w:qFormat/>
    <w:uiPriority w:val="9"/>
    <w:rPr>
      <w:rFonts w:cstheme="majorBidi"/>
      <w:color w:val="2F5597" w:themeColor="accent1" w:themeShade="BF"/>
      <w:sz w:val="24"/>
      <w:szCs w:val="24"/>
    </w:rPr>
  </w:style>
  <w:style w:type="character" w:customStyle="1" w:styleId="27">
    <w:name w:val="标题 6 字符"/>
    <w:basedOn w:val="21"/>
    <w:link w:val="8"/>
    <w:semiHidden/>
    <w:qFormat/>
    <w:uiPriority w:val="9"/>
    <w:rPr>
      <w:rFonts w:cstheme="majorBidi"/>
      <w:b/>
      <w:bCs/>
      <w:color w:val="2F5597" w:themeColor="accent1" w:themeShade="BF"/>
      <w:sz w:val="24"/>
      <w:szCs w:val="24"/>
    </w:rPr>
  </w:style>
  <w:style w:type="character" w:customStyle="1" w:styleId="28">
    <w:name w:val="标题 7 字符"/>
    <w:basedOn w:val="21"/>
    <w:link w:val="9"/>
    <w:semiHidden/>
    <w:qFormat/>
    <w:uiPriority w:val="9"/>
    <w:rPr>
      <w:rFonts w:cstheme="majorBidi"/>
      <w:b/>
      <w:bCs/>
      <w:color w:val="595959" w:themeColor="text1" w:themeTint="A6"/>
      <w:sz w:val="24"/>
      <w:szCs w:val="24"/>
      <w14:textFill>
        <w14:solidFill>
          <w14:schemeClr w14:val="tx1">
            <w14:lumMod w14:val="65000"/>
            <w14:lumOff w14:val="35000"/>
          </w14:schemeClr>
        </w14:solidFill>
      </w14:textFill>
    </w:rPr>
  </w:style>
  <w:style w:type="character" w:customStyle="1" w:styleId="29">
    <w:name w:val="标题 8 字符"/>
    <w:basedOn w:val="21"/>
    <w:link w:val="10"/>
    <w:semiHidden/>
    <w:qFormat/>
    <w:uiPriority w:val="9"/>
    <w:rPr>
      <w:rFonts w:cstheme="majorBidi"/>
      <w:color w:val="595959" w:themeColor="text1" w:themeTint="A6"/>
      <w:sz w:val="24"/>
      <w:szCs w:val="24"/>
      <w14:textFill>
        <w14:solidFill>
          <w14:schemeClr w14:val="tx1">
            <w14:lumMod w14:val="65000"/>
            <w14:lumOff w14:val="35000"/>
          </w14:schemeClr>
        </w14:solidFill>
      </w14:textFill>
    </w:rPr>
  </w:style>
  <w:style w:type="character" w:customStyle="1" w:styleId="30">
    <w:name w:val="标题 9 字符"/>
    <w:basedOn w:val="21"/>
    <w:link w:val="11"/>
    <w:semiHidden/>
    <w:qFormat/>
    <w:uiPriority w:val="9"/>
    <w:rPr>
      <w:rFonts w:eastAsiaTheme="majorEastAsia" w:cstheme="majorBidi"/>
      <w:color w:val="595959" w:themeColor="text1" w:themeTint="A6"/>
      <w:sz w:val="24"/>
      <w:szCs w:val="24"/>
      <w14:textFill>
        <w14:solidFill>
          <w14:schemeClr w14:val="tx1">
            <w14:lumMod w14:val="65000"/>
            <w14:lumOff w14:val="35000"/>
          </w14:schemeClr>
        </w14:solidFill>
      </w14:textFill>
    </w:rPr>
  </w:style>
  <w:style w:type="character" w:customStyle="1" w:styleId="31">
    <w:name w:val="标题 字符"/>
    <w:basedOn w:val="21"/>
    <w:link w:val="19"/>
    <w:qFormat/>
    <w:uiPriority w:val="10"/>
    <w:rPr>
      <w:rFonts w:asciiTheme="majorHAnsi" w:hAnsiTheme="majorHAnsi" w:eastAsiaTheme="majorEastAsia" w:cstheme="majorBidi"/>
      <w:spacing w:val="-10"/>
      <w:kern w:val="28"/>
      <w:sz w:val="56"/>
      <w:szCs w:val="56"/>
    </w:rPr>
  </w:style>
  <w:style w:type="character" w:customStyle="1" w:styleId="32">
    <w:name w:val="副标题 字符"/>
    <w:basedOn w:val="21"/>
    <w:link w:val="18"/>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after="160"/>
      <w:jc w:val="center"/>
    </w:pPr>
    <w:rPr>
      <w:rFonts w:ascii="Times New Roman" w:hAnsi="Times New Roman" w:eastAsia="仿宋_GB2312"/>
      <w:i/>
      <w:iCs/>
      <w:color w:val="404040" w:themeColor="text1" w:themeTint="BF"/>
      <w:sz w:val="24"/>
      <w14:textFill>
        <w14:solidFill>
          <w14:schemeClr w14:val="tx1">
            <w14:lumMod w14:val="75000"/>
            <w14:lumOff w14:val="25000"/>
          </w14:schemeClr>
        </w14:solidFill>
      </w14:textFill>
    </w:rPr>
  </w:style>
  <w:style w:type="character" w:customStyle="1" w:styleId="34">
    <w:name w:val="引用 字符"/>
    <w:basedOn w:val="21"/>
    <w:link w:val="33"/>
    <w:qFormat/>
    <w:uiPriority w:val="29"/>
    <w:rPr>
      <w:rFonts w:ascii="Times New Roman" w:hAnsi="Times New Roman" w:eastAsia="仿宋_GB2312" w:cs="Times New Roman"/>
      <w:i/>
      <w:iCs/>
      <w:color w:val="404040" w:themeColor="text1" w:themeTint="BF"/>
      <w:sz w:val="24"/>
      <w:szCs w:val="24"/>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rPr>
      <w:rFonts w:ascii="Times New Roman" w:hAnsi="Times New Roman" w:eastAsia="仿宋_GB2312"/>
      <w:sz w:val="24"/>
    </w:rPr>
  </w:style>
  <w:style w:type="character" w:customStyle="1" w:styleId="36">
    <w:name w:val="Intense Emphasis"/>
    <w:basedOn w:val="21"/>
    <w:qFormat/>
    <w:uiPriority w:val="21"/>
    <w:rPr>
      <w:i/>
      <w:iCs/>
      <w:color w:val="2F5597" w:themeColor="accent1" w:themeShade="BF"/>
    </w:rPr>
  </w:style>
  <w:style w:type="paragraph" w:styleId="37">
    <w:name w:val="Intense Quote"/>
    <w:basedOn w:val="1"/>
    <w:next w:val="1"/>
    <w:link w:val="38"/>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rFonts w:ascii="Times New Roman" w:hAnsi="Times New Roman" w:eastAsia="仿宋_GB2312"/>
      <w:i/>
      <w:iCs/>
      <w:color w:val="2F5597" w:themeColor="accent1" w:themeShade="BF"/>
      <w:sz w:val="24"/>
    </w:rPr>
  </w:style>
  <w:style w:type="character" w:customStyle="1" w:styleId="38">
    <w:name w:val="明显引用 字符"/>
    <w:basedOn w:val="21"/>
    <w:link w:val="37"/>
    <w:qFormat/>
    <w:uiPriority w:val="30"/>
    <w:rPr>
      <w:rFonts w:ascii="Times New Roman" w:hAnsi="Times New Roman" w:eastAsia="仿宋_GB2312" w:cs="Times New Roman"/>
      <w:i/>
      <w:iCs/>
      <w:color w:val="2F5597" w:themeColor="accent1" w:themeShade="BF"/>
      <w:sz w:val="24"/>
      <w:szCs w:val="24"/>
    </w:rPr>
  </w:style>
  <w:style w:type="character" w:customStyle="1" w:styleId="39">
    <w:name w:val="Intense Reference"/>
    <w:basedOn w:val="21"/>
    <w:qFormat/>
    <w:uiPriority w:val="32"/>
    <w:rPr>
      <w:b/>
      <w:bCs/>
      <w:smallCaps/>
      <w:color w:val="2F5597" w:themeColor="accent1" w:themeShade="BF"/>
      <w:spacing w:val="5"/>
    </w:rPr>
  </w:style>
  <w:style w:type="character" w:customStyle="1" w:styleId="40">
    <w:name w:val="正文文本缩进 2 字符"/>
    <w:basedOn w:val="21"/>
    <w:link w:val="2"/>
    <w:qFormat/>
    <w:uiPriority w:val="0"/>
    <w:rPr>
      <w:rFonts w:ascii="Calibri" w:hAnsi="Calibri" w:eastAsia="方正仿宋_GBK" w:cs="Times New Roman"/>
      <w:spacing w:val="6"/>
      <w:sz w:val="30"/>
    </w:rPr>
  </w:style>
  <w:style w:type="character" w:customStyle="1" w:styleId="41">
    <w:name w:val="正文文本 字符"/>
    <w:basedOn w:val="21"/>
    <w:link w:val="12"/>
    <w:semiHidden/>
    <w:qFormat/>
    <w:uiPriority w:val="0"/>
    <w:rPr>
      <w:rFonts w:ascii="Arial" w:hAnsi="Arial" w:eastAsia="Arial" w:cs="Arial"/>
      <w:szCs w:val="21"/>
      <w:lang w:eastAsia="en-US"/>
    </w:rPr>
  </w:style>
  <w:style w:type="character" w:customStyle="1" w:styleId="42">
    <w:name w:val="正文文本缩进 字符"/>
    <w:basedOn w:val="21"/>
    <w:link w:val="14"/>
    <w:qFormat/>
    <w:uiPriority w:val="0"/>
    <w:rPr>
      <w:rFonts w:ascii="Calibri" w:hAnsi="Calibri" w:eastAsia="仿宋_GB2312" w:cs="Times New Roman"/>
      <w:sz w:val="30"/>
      <w:szCs w:val="24"/>
    </w:rPr>
  </w:style>
  <w:style w:type="character" w:customStyle="1" w:styleId="43">
    <w:name w:val="页眉 字符"/>
    <w:basedOn w:val="21"/>
    <w:link w:val="17"/>
    <w:qFormat/>
    <w:uiPriority w:val="99"/>
    <w:rPr>
      <w:rFonts w:ascii="Calibri" w:hAnsi="Calibri" w:eastAsia="宋体" w:cs="Times New Roman"/>
      <w:sz w:val="18"/>
      <w:szCs w:val="18"/>
    </w:rPr>
  </w:style>
  <w:style w:type="character" w:customStyle="1" w:styleId="44">
    <w:name w:val="页脚 字符"/>
    <w:basedOn w:val="21"/>
    <w:link w:val="16"/>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1443</Words>
  <Characters>1639</Characters>
  <Lines>12</Lines>
  <Paragraphs>3</Paragraphs>
  <TotalTime>263</TotalTime>
  <ScaleCrop>false</ScaleCrop>
  <LinksUpToDate>false</LinksUpToDate>
  <CharactersWithSpaces>1664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2025-11-11T09:05:00Z</dcterms:created>
  <dc:creator>v</dc:creator>
  <cp:lastModifiedBy>～小太阳。</cp:lastModifiedBy>
  <cp:lastPrinted>2026-01-20T03:00:00Z</cp:lastPrinted>
  <dcterms:modified xsi:type="dcterms:W3CDTF">2026-01-22T07:15:32Z</dcterms:modified>
  <cp:revision>152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eyJoZGlkIjoiN2JhZWQ5OTNmMDkxZjMwYjU4ZmUwNzc3NTdiZGUwY2IiLCJ1c2VySWQiOiIxMDc2NTE4NzkzIn0=</vt:lpwstr>
  </property>
  <property fmtid="{D5CDD505-2E9C-101B-9397-08002B2CF9AE}" pid="3" name="KSOProductBuildVer">
    <vt:lpwstr>2052-12.1.0.24657</vt:lpwstr>
  </property>
  <property fmtid="{D5CDD505-2E9C-101B-9397-08002B2CF9AE}" pid="4" name="ICV">
    <vt:lpwstr>A6B35161D4704BC087367F8D526126EE_12</vt:lpwstr>
  </property>
</Properties>
</file>