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46A7C4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0"/>
        <w:rPr>
          <w:rFonts w:ascii="Times New Roman" w:hAnsi="Times New Roman" w:eastAsia="方正小标宋_GBK" w:cs="Times New Roman"/>
          <w:color w:val="000000"/>
          <w:sz w:val="44"/>
          <w:lang w:eastAsia="zh-CN"/>
        </w:rPr>
      </w:pPr>
      <w:bookmarkStart w:id="0" w:name="_Toc1670908148_WPSOffice_Level1"/>
      <w:bookmarkStart w:id="1" w:name="_Toc678217306_WPSOffice_Level1"/>
      <w:bookmarkStart w:id="2" w:name="_Toc2123423747_WPSOffice_Level1"/>
      <w:bookmarkStart w:id="3" w:name="_Toc178124550_WPSOffice_Level1"/>
    </w:p>
    <w:p w14:paraId="61C93711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0"/>
      </w:pPr>
    </w:p>
    <w:p w14:paraId="1A9CE95E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</w:pPr>
    </w:p>
    <w:p w14:paraId="54A35A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</w:pPr>
    </w:p>
    <w:p w14:paraId="0B0DE4B6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</w:pPr>
    </w:p>
    <w:p w14:paraId="3961E1E7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</w:pPr>
    </w:p>
    <w:p w14:paraId="28F4C4A3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</w:pPr>
    </w:p>
    <w:p w14:paraId="01660C84">
      <w:pPr>
        <w:spacing w:line="600" w:lineRule="exact"/>
        <w:jc w:val="center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常财审</w:t>
      </w:r>
      <w:r>
        <w:rPr>
          <w:rFonts w:hint="eastAsia" w:ascii="仿宋_GB2312" w:hAnsi="仿宋_GB2312" w:eastAsia="仿宋_GB2312"/>
          <w:sz w:val="32"/>
        </w:rPr>
        <w:t>〔202</w:t>
      </w:r>
      <w:r>
        <w:rPr>
          <w:rFonts w:hint="eastAsia" w:ascii="仿宋_GB2312" w:hAnsi="仿宋_GB2312" w:eastAsia="仿宋_GB2312"/>
          <w:sz w:val="32"/>
          <w:lang w:val="en-US" w:eastAsia="zh-CN"/>
        </w:rPr>
        <w:t>6</w:t>
      </w:r>
      <w:r>
        <w:rPr>
          <w:rFonts w:hint="eastAsia" w:ascii="仿宋_GB2312" w:hAnsi="仿宋_GB2312" w:eastAsia="仿宋_GB2312"/>
          <w:sz w:val="32"/>
        </w:rPr>
        <w:t>〕预</w:t>
      </w:r>
      <w:r>
        <w:rPr>
          <w:rFonts w:hint="eastAsia" w:ascii="仿宋_GB2312" w:eastAsia="仿宋_GB2312"/>
          <w:sz w:val="32"/>
        </w:rPr>
        <w:t>字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号</w:t>
      </w:r>
    </w:p>
    <w:p w14:paraId="4C6261E6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ascii="Times New Roman" w:hAnsi="Times New Roman" w:eastAsia="方正小标宋_GBK" w:cs="Times New Roman"/>
          <w:color w:val="000000"/>
          <w:sz w:val="44"/>
          <w:lang w:eastAsia="zh-CN"/>
        </w:rPr>
      </w:pPr>
    </w:p>
    <w:p w14:paraId="53833AF8">
      <w:pPr>
        <w:pStyle w:val="11"/>
        <w:spacing w:line="600" w:lineRule="exact"/>
        <w:jc w:val="center"/>
        <w:outlineLvl w:val="0"/>
        <w:rPr>
          <w:rFonts w:hint="eastAsia" w:ascii="宋体" w:hAnsi="宋体" w:eastAsia="宋体" w:cs="宋体"/>
          <w:color w:val="000000"/>
          <w:sz w:val="44"/>
          <w:lang w:eastAsia="zh-CN"/>
        </w:rPr>
      </w:pPr>
      <w:r>
        <w:rPr>
          <w:rFonts w:hint="eastAsia" w:ascii="宋体" w:hAnsi="宋体" w:eastAsia="宋体" w:cs="宋体"/>
          <w:color w:val="000000"/>
          <w:sz w:val="44"/>
          <w:lang w:eastAsia="zh-CN"/>
        </w:rPr>
        <w:t>关于</w:t>
      </w:r>
      <w:r>
        <w:rPr>
          <w:rFonts w:hint="eastAsia" w:ascii="宋体" w:hAnsi="宋体" w:eastAsia="宋体" w:cs="宋体"/>
          <w:color w:val="000000"/>
          <w:sz w:val="44"/>
          <w:lang w:val="en-US" w:eastAsia="zh-CN"/>
        </w:rPr>
        <w:t>常德军供站外墙维修改造项目</w:t>
      </w:r>
      <w:r>
        <w:rPr>
          <w:rFonts w:hint="eastAsia" w:ascii="宋体" w:hAnsi="宋体" w:eastAsia="宋体" w:cs="宋体"/>
          <w:color w:val="000000"/>
          <w:sz w:val="44"/>
          <w:lang w:eastAsia="zh-CN"/>
        </w:rPr>
        <w:t>预算执行的</w:t>
      </w:r>
      <w:bookmarkEnd w:id="0"/>
      <w:bookmarkEnd w:id="1"/>
      <w:bookmarkEnd w:id="2"/>
      <w:bookmarkEnd w:id="3"/>
      <w:r>
        <w:rPr>
          <w:rFonts w:hint="eastAsia" w:ascii="宋体" w:hAnsi="宋体" w:eastAsia="宋体" w:cs="宋体"/>
          <w:color w:val="000000"/>
          <w:sz w:val="44"/>
          <w:lang w:eastAsia="zh-CN"/>
        </w:rPr>
        <w:t>评审报告</w:t>
      </w:r>
    </w:p>
    <w:p w14:paraId="183234A1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</w:p>
    <w:p w14:paraId="138FD36E">
      <w:pPr>
        <w:overflowPunct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常德市财政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局社会保障科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</w:p>
    <w:p w14:paraId="4A51136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常德军供站外墙维修改造项目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》相关资料收悉，按照客观、公正、科学的评审原则，我中心组织对该项目开展预算执行评审，具体情况如下：</w:t>
      </w:r>
    </w:p>
    <w:p w14:paraId="25EAD115">
      <w:pPr>
        <w:pStyle w:val="13"/>
        <w:keepNext w:val="0"/>
        <w:keepLines w:val="0"/>
        <w:pageBreakBefore w:val="0"/>
        <w:widowControl w:val="0"/>
        <w:tabs>
          <w:tab w:val="left" w:pos="6266"/>
        </w:tabs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0"/>
        <w:rPr>
          <w:rFonts w:ascii="黑体" w:hAnsi="黑体" w:eastAsia="黑体" w:cs="黑体"/>
          <w:color w:val="000000"/>
          <w:sz w:val="32"/>
          <w:szCs w:val="32"/>
        </w:rPr>
      </w:pPr>
      <w:bookmarkStart w:id="4" w:name="_Toc891472834_WPSOffice_Level1"/>
      <w:bookmarkStart w:id="5" w:name="_Toc215626143_WPSOffice_Level1"/>
      <w:bookmarkStart w:id="6" w:name="_Toc1862220243_WPSOffice_Level1"/>
      <w:bookmarkStart w:id="7" w:name="_Toc445877422_WPSOffice_Level1"/>
      <w:r>
        <w:rPr>
          <w:rFonts w:hint="eastAsia" w:ascii="黑体" w:hAnsi="黑体" w:eastAsia="黑体" w:cs="黑体"/>
          <w:color w:val="000000"/>
          <w:sz w:val="32"/>
          <w:szCs w:val="32"/>
        </w:rPr>
        <w:t>一、项目概况</w:t>
      </w:r>
      <w:bookmarkEnd w:id="4"/>
      <w:bookmarkEnd w:id="5"/>
      <w:bookmarkEnd w:id="6"/>
      <w:bookmarkEnd w:id="7"/>
    </w:p>
    <w:p w14:paraId="20EE3049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outlineLvl w:val="1"/>
        <w:rPr>
          <w:rFonts w:ascii="Times New Roman" w:hAnsi="Times New Roman" w:eastAsia="楷体_GB2312"/>
          <w:b/>
          <w:bCs/>
          <w:sz w:val="32"/>
          <w:szCs w:val="32"/>
        </w:rPr>
      </w:pPr>
      <w:bookmarkStart w:id="8" w:name="_Toc222933592_WPSOffice_Level2"/>
      <w:bookmarkStart w:id="9" w:name="_Toc90632560_WPSOffice_Level2"/>
      <w:bookmarkStart w:id="10" w:name="_Toc1067922961_WPSOffice_Level2"/>
      <w:bookmarkStart w:id="11" w:name="_Toc472741964_WPSOffice_Level2"/>
      <w:r>
        <w:rPr>
          <w:rFonts w:ascii="Times New Roman" w:hAnsi="Times New Roman" w:eastAsia="楷体_GB2312"/>
          <w:b/>
          <w:bCs/>
          <w:sz w:val="32"/>
          <w:szCs w:val="32"/>
        </w:rPr>
        <w:t>（一）项目基本情况</w:t>
      </w:r>
      <w:bookmarkEnd w:id="8"/>
      <w:bookmarkEnd w:id="9"/>
      <w:bookmarkEnd w:id="10"/>
      <w:bookmarkEnd w:id="11"/>
    </w:p>
    <w:p w14:paraId="232F394D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资金来源为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单位自筹（中央和省级全额补助资金，2025年中央优抚事业单位补助）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</w:p>
    <w:p w14:paraId="4CAF768E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outlineLvl w:val="1"/>
        <w:rPr>
          <w:rFonts w:ascii="Times New Roman" w:hAnsi="Times New Roman" w:eastAsia="楷体_GB2312"/>
          <w:b/>
          <w:bCs/>
          <w:sz w:val="32"/>
          <w:szCs w:val="32"/>
        </w:rPr>
      </w:pPr>
      <w:bookmarkStart w:id="12" w:name="_Toc1446308865_WPSOffice_Level2"/>
      <w:bookmarkStart w:id="13" w:name="_Toc1094448419_WPSOffice_Level2"/>
      <w:bookmarkStart w:id="14" w:name="_Toc1069041809_WPSOffice_Level2"/>
      <w:bookmarkStart w:id="15" w:name="_Toc830963703_WPSOffice_Level2"/>
      <w:r>
        <w:rPr>
          <w:rFonts w:ascii="Times New Roman" w:hAnsi="Times New Roman" w:eastAsia="楷体_GB2312"/>
          <w:b/>
          <w:bCs/>
          <w:sz w:val="32"/>
          <w:szCs w:val="32"/>
        </w:rPr>
        <w:t>（二）项目主要内容</w:t>
      </w:r>
      <w:bookmarkEnd w:id="12"/>
      <w:bookmarkEnd w:id="13"/>
      <w:bookmarkEnd w:id="14"/>
      <w:bookmarkEnd w:id="15"/>
    </w:p>
    <w:p w14:paraId="7828461D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项目主要改造内容：办公楼、餐厅、门卫室、卫生间沐浴房、国库锅炉房等房屋外墙改造，屋面防水、大门道闸、门窗更换。</w:t>
      </w:r>
    </w:p>
    <w:p w14:paraId="114F1FDA">
      <w:pPr>
        <w:pStyle w:val="13"/>
        <w:keepNext w:val="0"/>
        <w:keepLines w:val="0"/>
        <w:pageBreakBefore w:val="0"/>
        <w:widowControl w:val="0"/>
        <w:tabs>
          <w:tab w:val="left" w:pos="6266"/>
        </w:tabs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0"/>
        <w:rPr>
          <w:rFonts w:ascii="黑体" w:hAnsi="黑体" w:eastAsia="黑体" w:cs="黑体"/>
          <w:color w:val="000000"/>
          <w:sz w:val="32"/>
          <w:szCs w:val="32"/>
        </w:rPr>
      </w:pPr>
      <w:bookmarkStart w:id="16" w:name="_Toc182692291_WPSOffice_Level1"/>
      <w:bookmarkStart w:id="17" w:name="_Toc976241670_WPSOffice_Level1"/>
      <w:bookmarkStart w:id="18" w:name="_Toc581615128_WPSOffice_Level1"/>
      <w:bookmarkStart w:id="19" w:name="_Toc1890145904_WPSOffice_Level1"/>
      <w:r>
        <w:rPr>
          <w:rFonts w:hint="eastAsia" w:ascii="黑体" w:hAnsi="黑体" w:eastAsia="黑体" w:cs="黑体"/>
          <w:color w:val="000000"/>
          <w:sz w:val="32"/>
          <w:szCs w:val="32"/>
        </w:rPr>
        <w:t>二、评审依据</w:t>
      </w:r>
      <w:bookmarkEnd w:id="16"/>
      <w:bookmarkEnd w:id="17"/>
      <w:bookmarkEnd w:id="18"/>
      <w:bookmarkEnd w:id="19"/>
    </w:p>
    <w:p w14:paraId="168A225C">
      <w:pPr>
        <w:pStyle w:val="3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</w:rPr>
        <w:t>《中华人民共和国预算法》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 w:val="32"/>
          <w:szCs w:val="32"/>
        </w:rPr>
        <w:t>《中华人民共和国预算法实施条例》</w:t>
      </w:r>
      <w:r>
        <w:rPr>
          <w:rFonts w:hint="eastAsia" w:ascii="仿宋_GB2312" w:hAnsi="仿宋_GB2312" w:cs="仿宋_GB2312"/>
          <w:bCs/>
          <w:sz w:val="32"/>
          <w:szCs w:val="32"/>
        </w:rPr>
        <w:t>等法律法规</w:t>
      </w:r>
      <w:r>
        <w:rPr>
          <w:rFonts w:hint="eastAsia" w:ascii="仿宋_GB2312" w:hAnsi="仿宋_GB2312" w:cs="仿宋_GB2312"/>
          <w:bCs/>
          <w:sz w:val="32"/>
          <w:szCs w:val="32"/>
          <w:lang w:eastAsia="zh-CN"/>
        </w:rPr>
        <w:t>；</w:t>
      </w:r>
    </w:p>
    <w:p w14:paraId="4F70B499">
      <w:pPr>
        <w:pStyle w:val="3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_GB2312" w:cs="仿宋_GB2312"/>
          <w:color w:val="000000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</w:rPr>
        <w:t>湖南省住房和城乡建设厅《关于执行&lt;建设工程工程量清单计价标准&gt;及配套工程量计算标准的通知》（湘建科函〔</w:t>
      </w:r>
      <w:r>
        <w:rPr>
          <w:rFonts w:ascii="仿宋_GB2312" w:hAnsi="仿宋_GB2312" w:cs="仿宋_GB2312"/>
          <w:sz w:val="32"/>
          <w:szCs w:val="32"/>
        </w:rPr>
        <w:t>2025</w:t>
      </w:r>
      <w:r>
        <w:rPr>
          <w:rFonts w:hint="eastAsia" w:ascii="仿宋_GB2312" w:hAnsi="仿宋_GB2312" w:cs="仿宋_GB2312"/>
          <w:sz w:val="32"/>
          <w:szCs w:val="32"/>
        </w:rPr>
        <w:t>〕</w:t>
      </w:r>
      <w:r>
        <w:rPr>
          <w:rFonts w:ascii="仿宋_GB2312" w:hAnsi="仿宋_GB2312" w:cs="仿宋_GB2312"/>
          <w:sz w:val="32"/>
          <w:szCs w:val="32"/>
        </w:rPr>
        <w:t>15</w:t>
      </w:r>
      <w:r>
        <w:rPr>
          <w:rFonts w:hint="eastAsia" w:ascii="仿宋_GB2312" w:hAnsi="仿宋_GB2312" w:cs="仿宋_GB2312"/>
          <w:sz w:val="32"/>
          <w:szCs w:val="32"/>
        </w:rPr>
        <w:t>0号）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；</w:t>
      </w:r>
    </w:p>
    <w:p w14:paraId="5FDD93A4">
      <w:pPr>
        <w:pStyle w:val="3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仿宋_GB2312" w:hAnsi="仿宋_GB2312" w:cs="仿宋_GB2312"/>
          <w:color w:val="000000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</w:rPr>
        <w:t>湖南省住房和城乡建设厅《关于发布</w:t>
      </w:r>
      <w:r>
        <w:rPr>
          <w:rFonts w:ascii="仿宋_GB2312" w:hAnsi="仿宋_GB2312" w:cs="仿宋_GB2312"/>
          <w:sz w:val="32"/>
          <w:szCs w:val="32"/>
        </w:rPr>
        <w:t>2025</w:t>
      </w:r>
      <w:r>
        <w:rPr>
          <w:rFonts w:hint="eastAsia" w:ascii="仿宋_GB2312" w:hAnsi="仿宋_GB2312" w:cs="仿宋_GB2312"/>
          <w:sz w:val="32"/>
          <w:szCs w:val="32"/>
        </w:rPr>
        <w:t>&lt;湖南省建设工程消耗量标准&gt;的通知》（湘建科函〔</w:t>
      </w:r>
      <w:r>
        <w:rPr>
          <w:rFonts w:ascii="仿宋_GB2312" w:hAnsi="仿宋_GB2312" w:cs="仿宋_GB2312"/>
          <w:sz w:val="32"/>
          <w:szCs w:val="32"/>
        </w:rPr>
        <w:t>2025</w:t>
      </w:r>
      <w:r>
        <w:rPr>
          <w:rFonts w:hint="eastAsia" w:ascii="仿宋_GB2312" w:hAnsi="仿宋_GB2312" w:cs="仿宋_GB2312"/>
          <w:sz w:val="32"/>
          <w:szCs w:val="32"/>
        </w:rPr>
        <w:t>〕</w:t>
      </w:r>
      <w:r>
        <w:rPr>
          <w:rFonts w:ascii="仿宋_GB2312" w:hAnsi="仿宋_GB2312" w:cs="仿宋_GB2312"/>
          <w:sz w:val="32"/>
          <w:szCs w:val="32"/>
        </w:rPr>
        <w:t>151</w:t>
      </w:r>
      <w:r>
        <w:rPr>
          <w:rFonts w:hint="eastAsia" w:ascii="仿宋_GB2312" w:hAnsi="仿宋_GB2312" w:cs="仿宋_GB2312"/>
          <w:sz w:val="32"/>
          <w:szCs w:val="32"/>
        </w:rPr>
        <w:t>号）</w:t>
      </w:r>
      <w:r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  <w:t>；</w:t>
      </w:r>
    </w:p>
    <w:p w14:paraId="6581B695">
      <w:pPr>
        <w:pStyle w:val="3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4.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常德市财政局《关于规范市本级政府投资项目前期服务性费用评审标准及实行PPP项目前期服务性费用打捆包干政策的通知》（常财办发〔2017〕68号）；</w:t>
      </w:r>
    </w:p>
    <w:p w14:paraId="370BF92F">
      <w:pPr>
        <w:pStyle w:val="3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bookmarkStart w:id="20" w:name="_Toc450291478_WPSOffice_Level2"/>
      <w:bookmarkStart w:id="21" w:name="_Toc479871566_WPSOffice_Level2"/>
      <w:bookmarkStart w:id="22" w:name="_Toc680724078_WPSOffice_Level2"/>
      <w:bookmarkStart w:id="23" w:name="_Toc333544456_WPSOffice_Level2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5.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</w:rPr>
        <w:t>常德市建设工程造价管理站《关于公布常德市二○二五年第十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 w:val="32"/>
          <w:szCs w:val="32"/>
        </w:rPr>
        <w:t>期建设工程材料市场综合价的通知》（</w:t>
      </w:r>
      <w:r>
        <w:rPr>
          <w:rFonts w:hint="eastAsia" w:ascii="仿宋_GB2312"/>
          <w:sz w:val="32"/>
          <w:szCs w:val="32"/>
        </w:rPr>
        <w:t>常建价〔2025〕1</w:t>
      </w:r>
      <w:r>
        <w:rPr>
          <w:rFonts w:hint="eastAsia" w:ascii="仿宋_GB2312"/>
          <w:sz w:val="32"/>
          <w:szCs w:val="32"/>
          <w:lang w:val="en-US" w:eastAsia="zh-CN"/>
        </w:rPr>
        <w:t>6</w:t>
      </w:r>
      <w:r>
        <w:rPr>
          <w:rFonts w:hint="eastAsia" w:ascii="仿宋_GB2312"/>
          <w:sz w:val="32"/>
          <w:szCs w:val="32"/>
        </w:rPr>
        <w:t>号</w:t>
      </w:r>
      <w:r>
        <w:rPr>
          <w:rFonts w:hint="eastAsia" w:ascii="仿宋_GB2312" w:hAnsi="仿宋_GB2312" w:cs="仿宋_GB2312"/>
          <w:sz w:val="32"/>
          <w:szCs w:val="32"/>
        </w:rPr>
        <w:t>）及市场价格</w:t>
      </w:r>
      <w:bookmarkEnd w:id="20"/>
      <w:bookmarkEnd w:id="21"/>
      <w:bookmarkEnd w:id="22"/>
      <w:bookmarkEnd w:id="23"/>
      <w:r>
        <w:rPr>
          <w:rFonts w:hint="eastAsia" w:ascii="仿宋_GB2312" w:hAnsi="仿宋_GB2312" w:cs="仿宋_GB2312"/>
          <w:sz w:val="32"/>
          <w:szCs w:val="32"/>
          <w:lang w:eastAsia="zh-CN"/>
        </w:rPr>
        <w:t>；</w:t>
      </w:r>
    </w:p>
    <w:p w14:paraId="03B1D9B7">
      <w:pPr>
        <w:pStyle w:val="3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2"/>
        <w:rPr>
          <w:rFonts w:ascii="仿宋_GB2312" w:hAnsi="仿宋_GB2312" w:cs="仿宋_GB2312"/>
          <w:sz w:val="32"/>
          <w:szCs w:val="32"/>
        </w:rPr>
      </w:pPr>
      <w:bookmarkStart w:id="24" w:name="_Toc863367060_WPSOffice_Level3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6.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</w:rPr>
        <w:t>其他有关资料。</w:t>
      </w:r>
      <w:bookmarkEnd w:id="24"/>
    </w:p>
    <w:p w14:paraId="5BB735A7">
      <w:pPr>
        <w:pStyle w:val="13"/>
        <w:keepNext w:val="0"/>
        <w:keepLines w:val="0"/>
        <w:pageBreakBefore w:val="0"/>
        <w:widowControl w:val="0"/>
        <w:tabs>
          <w:tab w:val="left" w:pos="6266"/>
        </w:tabs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outlineLvl w:val="0"/>
        <w:rPr>
          <w:rFonts w:ascii="黑体" w:hAnsi="黑体" w:eastAsia="黑体" w:cs="黑体"/>
          <w:color w:val="000000"/>
          <w:sz w:val="32"/>
          <w:szCs w:val="32"/>
        </w:rPr>
      </w:pPr>
      <w:bookmarkStart w:id="25" w:name="_Toc757239869_WPSOffice_Level1"/>
      <w:bookmarkStart w:id="26" w:name="_Toc1699738589_WPSOffice_Level1"/>
      <w:bookmarkStart w:id="27" w:name="_Toc1890271026_WPSOffice_Level1"/>
      <w:bookmarkStart w:id="28" w:name="_Toc913869554_WPSOffice_Level1"/>
      <w:r>
        <w:rPr>
          <w:rFonts w:hint="eastAsia" w:ascii="黑体" w:hAnsi="黑体" w:eastAsia="黑体" w:cs="黑体"/>
          <w:color w:val="000000"/>
          <w:sz w:val="32"/>
          <w:szCs w:val="32"/>
        </w:rPr>
        <w:t>三、评审结论</w:t>
      </w:r>
      <w:bookmarkEnd w:id="25"/>
      <w:bookmarkEnd w:id="26"/>
      <w:bookmarkEnd w:id="27"/>
      <w:bookmarkEnd w:id="28"/>
    </w:p>
    <w:p w14:paraId="2C0534C6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该工程施工图预算送审金额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849153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元，审定金额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759211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元，审减金额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89942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元。其中：工程费审减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86480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元，前期费审减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14518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元，不可预见费审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增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11056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元。审减主要原因如下：</w:t>
      </w:r>
    </w:p>
    <w:p w14:paraId="03A75237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bookmarkStart w:id="29" w:name="_Toc1954155083_WPSOffice_Level1"/>
      <w:bookmarkStart w:id="30" w:name="_Toc308870453_WPSOffice_Level1"/>
      <w:bookmarkStart w:id="31" w:name="_Toc545252939_WPSOffice_Level1"/>
      <w:bookmarkStart w:id="32" w:name="_Toc1156470918_WPSOffice_Level1"/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1.拆除工程量多计、定额高套，审减1.5万元；</w:t>
      </w:r>
    </w:p>
    <w:p w14:paraId="6698C759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2.墙面抹灰、真石漆工程量多计、单价高计，审减3.87万元；</w:t>
      </w:r>
    </w:p>
    <w:p w14:paraId="4F346F98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3.铝合金窗工程量多计、单价高计，审减0.8万元；</w:t>
      </w:r>
    </w:p>
    <w:p w14:paraId="28CFD00C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4.外装饰吊篮调整为外装饰脚手架，审减0.77万元；</w:t>
      </w:r>
    </w:p>
    <w:p w14:paraId="560511CC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5.干挂金花米黄大理石后置件工程量多计，审减0.58万元；</w:t>
      </w:r>
    </w:p>
    <w:p w14:paraId="698F7B03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6.其他零星项目工程量多计、单价高计，审减1.12万元；</w:t>
      </w:r>
    </w:p>
    <w:p w14:paraId="6DA75120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7.设计费、监理费、造价咨询费因计费基数调整，审减1.37万元；</w:t>
      </w:r>
    </w:p>
    <w:p w14:paraId="6EEB2D36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8.建设单位管理费不计，审减0.77万元；</w:t>
      </w:r>
    </w:p>
    <w:p w14:paraId="4FEA2948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9.采购代理费漏报，审增0.68万元；</w:t>
      </w:r>
    </w:p>
    <w:p w14:paraId="6E0410C3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10.不可预见费按工程费的5%计算，审增1.11万元。</w:t>
      </w:r>
    </w:p>
    <w:p w14:paraId="5FBB58F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</w:t>
      </w:r>
      <w:bookmarkEnd w:id="29"/>
      <w:bookmarkEnd w:id="30"/>
      <w:bookmarkEnd w:id="31"/>
      <w:bookmarkEnd w:id="32"/>
      <w:bookmarkStart w:id="33" w:name="_Toc340961487_WPSOffice_Level1"/>
      <w:bookmarkStart w:id="34" w:name="_Toc391484743_WPSOffice_Level1"/>
      <w:bookmarkStart w:id="35" w:name="_Toc1244274959_WPSOffice_Level1"/>
      <w:bookmarkStart w:id="36" w:name="_Toc669635750_WPSOffice_Level1"/>
      <w:r>
        <w:rPr>
          <w:rFonts w:hint="eastAsia" w:ascii="黑体" w:hAnsi="黑体" w:eastAsia="黑体" w:cs="黑体"/>
          <w:color w:val="000000"/>
          <w:sz w:val="32"/>
          <w:szCs w:val="32"/>
        </w:rPr>
        <w:t>有关事项说明</w:t>
      </w:r>
      <w:bookmarkEnd w:id="33"/>
      <w:bookmarkEnd w:id="34"/>
      <w:bookmarkEnd w:id="35"/>
      <w:bookmarkEnd w:id="36"/>
    </w:p>
    <w:p w14:paraId="592B933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本</w:t>
      </w:r>
      <w:r>
        <w:rPr>
          <w:rFonts w:hint="eastAsia" w:ascii="Times New Roman" w:hAnsi="Times New Roman" w:eastAsia="仿宋_GB2312"/>
          <w:sz w:val="32"/>
          <w:szCs w:val="32"/>
        </w:rPr>
        <w:t>评审结果是该项目财政预算控制上限，作为预算执行的重要依据，</w:t>
      </w:r>
      <w:r>
        <w:rPr>
          <w:rFonts w:hint="eastAsia" w:ascii="仿宋_GB2312" w:hAnsi="仿宋_GB2312" w:eastAsia="仿宋_GB2312" w:cs="仿宋_GB2312"/>
          <w:sz w:val="32"/>
          <w:szCs w:val="32"/>
        </w:rPr>
        <w:t>不作为招投标、政府采购、结算和决算的依据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。请</w:t>
      </w:r>
      <w:r>
        <w:rPr>
          <w:rFonts w:hint="eastAsia" w:ascii="Times New Roman" w:hAnsi="Times New Roman" w:eastAsia="仿宋_GB2312"/>
          <w:sz w:val="32"/>
          <w:szCs w:val="32"/>
        </w:rPr>
        <w:t>根据预算执行评审结果调整预算安排并指导相关部门严控预算执行，督促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项目单位严格遵守各项法律法规、财经纪律和财务管理制度。资金管理科室对预算评审类型和报告使用负责。</w:t>
      </w:r>
    </w:p>
    <w:p w14:paraId="224CFE3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项目预算控制上限依据项目单位提供的设计图纸、施工方案，参照相关法律法规、行业规范标准及市场询价结果出具。若因送审资料完整性不足、准确性欠缺等情形导致的偏差，相关责任由项目单位自行承担。</w:t>
      </w:r>
    </w:p>
    <w:p w14:paraId="2E2AF08B"/>
    <w:p w14:paraId="7611029A">
      <w:pPr>
        <w:overflowPunct w:val="0"/>
        <w:ind w:firstLine="640" w:firstLineChars="200"/>
        <w:jc w:val="righ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71636E5B">
      <w:pPr>
        <w:overflowPunct w:val="0"/>
        <w:ind w:firstLine="640" w:firstLineChars="200"/>
        <w:jc w:val="righ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常德市财政局投资评审中心</w:t>
      </w:r>
    </w:p>
    <w:p w14:paraId="30565E2E">
      <w:pPr>
        <w:pStyle w:val="15"/>
        <w:wordWrap w:val="0"/>
        <w:spacing w:line="600" w:lineRule="exact"/>
        <w:ind w:left="5460" w:right="332" w:hanging="73"/>
        <w:jc w:val="center"/>
        <w:rPr>
          <w:rFonts w:ascii="Times New Roman" w:hAnsi="Times New Roma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</w:t>
      </w:r>
    </w:p>
    <w:p w14:paraId="2E613B26">
      <w:pPr>
        <w:widowControl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附表：</w:t>
      </w:r>
    </w:p>
    <w:tbl>
      <w:tblPr>
        <w:tblStyle w:val="20"/>
        <w:tblW w:w="883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055"/>
        <w:gridCol w:w="1440"/>
        <w:gridCol w:w="1575"/>
        <w:gridCol w:w="1440"/>
        <w:gridCol w:w="1650"/>
      </w:tblGrid>
      <w:tr w14:paraId="7F720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88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F7B4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44"/>
                <w:szCs w:val="44"/>
                <w:lang w:val="en-US" w:eastAsia="zh-CN"/>
              </w:rPr>
              <w:t>常德军供站外墙维修改造项目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预算</w:t>
            </w:r>
          </w:p>
          <w:p w14:paraId="67402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执行评审汇总表</w:t>
            </w:r>
          </w:p>
        </w:tc>
      </w:tr>
      <w:tr w14:paraId="0BCB72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170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0E584EF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1ECEBCD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2088DD8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7EFBE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金额单位：元</w:t>
            </w:r>
          </w:p>
        </w:tc>
      </w:tr>
      <w:tr w14:paraId="7F685F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221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0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C2C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评审内容</w:t>
            </w:r>
          </w:p>
        </w:tc>
        <w:tc>
          <w:tcPr>
            <w:tcW w:w="14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A94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送审金额</w:t>
            </w:r>
          </w:p>
        </w:tc>
        <w:tc>
          <w:tcPr>
            <w:tcW w:w="15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7B1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审定金额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FE9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审减金额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66B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  注</w:t>
            </w:r>
          </w:p>
        </w:tc>
      </w:tr>
      <w:tr w14:paraId="6559CF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E5E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290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工程费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651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768996 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C18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682516 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662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86480 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6B200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26B0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D57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DB3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前期费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C4A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57087 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77B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42569 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B7E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14518 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892A41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3A3A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100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9C2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不可预见费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B0D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23070 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6EB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34126 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D26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-11056 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A42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工程费的5%</w:t>
            </w:r>
          </w:p>
        </w:tc>
      </w:tr>
      <w:tr w14:paraId="66AB7D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D3FF6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F90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  计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430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849153 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B95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759211 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80C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89942 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D7A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审减率10.59%</w:t>
            </w:r>
          </w:p>
        </w:tc>
      </w:tr>
    </w:tbl>
    <w:p w14:paraId="2672457B">
      <w:bookmarkStart w:id="37" w:name="_GoBack"/>
      <w:bookmarkEnd w:id="37"/>
    </w:p>
    <w:sectPr>
      <w:pgSz w:w="11906" w:h="16838"/>
      <w:pgMar w:top="2154" w:right="1531" w:bottom="1440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C95"/>
    <w:rsid w:val="00000756"/>
    <w:rsid w:val="00085B23"/>
    <w:rsid w:val="001215E9"/>
    <w:rsid w:val="00124BA6"/>
    <w:rsid w:val="001479F8"/>
    <w:rsid w:val="0021362D"/>
    <w:rsid w:val="00224739"/>
    <w:rsid w:val="002550DA"/>
    <w:rsid w:val="002910E0"/>
    <w:rsid w:val="00293F9D"/>
    <w:rsid w:val="002A76CD"/>
    <w:rsid w:val="0030666D"/>
    <w:rsid w:val="003459A7"/>
    <w:rsid w:val="00355006"/>
    <w:rsid w:val="003B1247"/>
    <w:rsid w:val="003C1927"/>
    <w:rsid w:val="003E7F11"/>
    <w:rsid w:val="00441C6A"/>
    <w:rsid w:val="00484DFC"/>
    <w:rsid w:val="004A70E5"/>
    <w:rsid w:val="004B2325"/>
    <w:rsid w:val="004D08C3"/>
    <w:rsid w:val="00530125"/>
    <w:rsid w:val="00597761"/>
    <w:rsid w:val="005C25C6"/>
    <w:rsid w:val="005E03B0"/>
    <w:rsid w:val="00617840"/>
    <w:rsid w:val="006365E1"/>
    <w:rsid w:val="00643849"/>
    <w:rsid w:val="00684E64"/>
    <w:rsid w:val="006908F6"/>
    <w:rsid w:val="006F4ED8"/>
    <w:rsid w:val="007674DA"/>
    <w:rsid w:val="00783187"/>
    <w:rsid w:val="007977F1"/>
    <w:rsid w:val="00885C95"/>
    <w:rsid w:val="008949B8"/>
    <w:rsid w:val="008C6E6E"/>
    <w:rsid w:val="00957E17"/>
    <w:rsid w:val="009729BD"/>
    <w:rsid w:val="00983433"/>
    <w:rsid w:val="00987E15"/>
    <w:rsid w:val="009A5363"/>
    <w:rsid w:val="009D0076"/>
    <w:rsid w:val="009D294F"/>
    <w:rsid w:val="009E1678"/>
    <w:rsid w:val="009E3E4E"/>
    <w:rsid w:val="00A20CF8"/>
    <w:rsid w:val="00A83634"/>
    <w:rsid w:val="00AE318F"/>
    <w:rsid w:val="00B10D36"/>
    <w:rsid w:val="00B131C8"/>
    <w:rsid w:val="00B13E31"/>
    <w:rsid w:val="00B57111"/>
    <w:rsid w:val="00B93D71"/>
    <w:rsid w:val="00B97A21"/>
    <w:rsid w:val="00BB045A"/>
    <w:rsid w:val="00BD2724"/>
    <w:rsid w:val="00BF1B1B"/>
    <w:rsid w:val="00C160E8"/>
    <w:rsid w:val="00C3151B"/>
    <w:rsid w:val="00C363A1"/>
    <w:rsid w:val="00C60121"/>
    <w:rsid w:val="00C810E0"/>
    <w:rsid w:val="00C879BE"/>
    <w:rsid w:val="00CB2A73"/>
    <w:rsid w:val="00CC1F81"/>
    <w:rsid w:val="00D40239"/>
    <w:rsid w:val="00D45129"/>
    <w:rsid w:val="00D505AA"/>
    <w:rsid w:val="00D62C9B"/>
    <w:rsid w:val="00D83731"/>
    <w:rsid w:val="00DA4780"/>
    <w:rsid w:val="00DB1BF1"/>
    <w:rsid w:val="00DC5B31"/>
    <w:rsid w:val="00DD2057"/>
    <w:rsid w:val="00DE41FE"/>
    <w:rsid w:val="00E254A1"/>
    <w:rsid w:val="00ED1673"/>
    <w:rsid w:val="00F36E1D"/>
    <w:rsid w:val="00F67CB7"/>
    <w:rsid w:val="00F85FF3"/>
    <w:rsid w:val="00FE121F"/>
    <w:rsid w:val="00FE4C73"/>
    <w:rsid w:val="04F75BE8"/>
    <w:rsid w:val="05B71062"/>
    <w:rsid w:val="0A4023B9"/>
    <w:rsid w:val="0DBF4571"/>
    <w:rsid w:val="1228646B"/>
    <w:rsid w:val="13304061"/>
    <w:rsid w:val="14F964DC"/>
    <w:rsid w:val="175E319B"/>
    <w:rsid w:val="1BF25BB2"/>
    <w:rsid w:val="1CF5540F"/>
    <w:rsid w:val="1D75559B"/>
    <w:rsid w:val="1E394EF5"/>
    <w:rsid w:val="1F5B6DDA"/>
    <w:rsid w:val="24523436"/>
    <w:rsid w:val="25951FC5"/>
    <w:rsid w:val="28A556FA"/>
    <w:rsid w:val="2C1F4CDE"/>
    <w:rsid w:val="2E916B5A"/>
    <w:rsid w:val="2E951F5C"/>
    <w:rsid w:val="32223320"/>
    <w:rsid w:val="32EC7D54"/>
    <w:rsid w:val="45943BEF"/>
    <w:rsid w:val="4AE96E20"/>
    <w:rsid w:val="4BEC04AA"/>
    <w:rsid w:val="4CDC7D6F"/>
    <w:rsid w:val="4E3635E5"/>
    <w:rsid w:val="50836D3A"/>
    <w:rsid w:val="53B047CE"/>
    <w:rsid w:val="5932754F"/>
    <w:rsid w:val="5ACB62FB"/>
    <w:rsid w:val="62EE4151"/>
    <w:rsid w:val="724E3A09"/>
    <w:rsid w:val="75B81342"/>
    <w:rsid w:val="76083C8B"/>
    <w:rsid w:val="785E32FB"/>
    <w:rsid w:val="797F3C93"/>
    <w:rsid w:val="87F7C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qFormat="1"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2F5597" w:themeColor="accent1" w:themeShade="BF"/>
      <w:sz w:val="24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next w:val="12"/>
    <w:link w:val="41"/>
    <w:semiHidden/>
    <w:qFormat/>
    <w:uiPriority w:val="0"/>
    <w:rPr>
      <w:rFonts w:ascii="Arial" w:hAnsi="Arial" w:eastAsia="Arial" w:cs="Arial"/>
      <w:szCs w:val="21"/>
      <w:lang w:eastAsia="en-US"/>
    </w:rPr>
  </w:style>
  <w:style w:type="paragraph" w:styleId="12">
    <w:name w:val="toc 9"/>
    <w:basedOn w:val="1"/>
    <w:next w:val="1"/>
    <w:semiHidden/>
    <w:unhideWhenUsed/>
    <w:qFormat/>
    <w:uiPriority w:val="39"/>
    <w:pPr>
      <w:ind w:left="3360" w:leftChars="1600"/>
    </w:pPr>
  </w:style>
  <w:style w:type="paragraph" w:styleId="13">
    <w:name w:val="Body Text Indent"/>
    <w:basedOn w:val="1"/>
    <w:next w:val="14"/>
    <w:link w:val="42"/>
    <w:qFormat/>
    <w:uiPriority w:val="0"/>
    <w:pPr>
      <w:ind w:firstLine="600" w:firstLineChars="200"/>
    </w:pPr>
    <w:rPr>
      <w:rFonts w:eastAsia="仿宋_GB2312"/>
      <w:sz w:val="30"/>
    </w:rPr>
  </w:style>
  <w:style w:type="paragraph" w:styleId="14">
    <w:name w:val="envelope return"/>
    <w:basedOn w:val="1"/>
    <w:semiHidden/>
    <w:unhideWhenUsed/>
    <w:qFormat/>
    <w:uiPriority w:val="99"/>
    <w:pPr>
      <w:snapToGrid w:val="0"/>
    </w:pPr>
    <w:rPr>
      <w:rFonts w:asciiTheme="majorHAnsi" w:hAnsiTheme="majorHAnsi" w:eastAsiaTheme="majorEastAsia" w:cstheme="majorBidi"/>
    </w:rPr>
  </w:style>
  <w:style w:type="paragraph" w:styleId="15">
    <w:name w:val="Body Text Indent 2"/>
    <w:basedOn w:val="1"/>
    <w:link w:val="40"/>
    <w:qFormat/>
    <w:uiPriority w:val="0"/>
    <w:pPr>
      <w:spacing w:line="588" w:lineRule="atLeast"/>
    </w:pPr>
    <w:rPr>
      <w:rFonts w:eastAsia="方正仿宋_GBK"/>
      <w:spacing w:val="6"/>
      <w:sz w:val="30"/>
      <w:szCs w:val="22"/>
    </w:rPr>
  </w:style>
  <w:style w:type="paragraph" w:styleId="16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43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Subtitle"/>
    <w:basedOn w:val="1"/>
    <w:next w:val="1"/>
    <w:link w:val="32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9">
    <w:name w:val="Title"/>
    <w:basedOn w:val="1"/>
    <w:next w:val="1"/>
    <w:link w:val="31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2">
    <w:name w:val="标题 1 字符"/>
    <w:basedOn w:val="21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3">
    <w:name w:val="标题 2 字符"/>
    <w:basedOn w:val="21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4">
    <w:name w:val="标题 3 字符"/>
    <w:basedOn w:val="21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5">
    <w:name w:val="标题 4 字符"/>
    <w:basedOn w:val="21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6">
    <w:name w:val="标题 5 字符"/>
    <w:basedOn w:val="21"/>
    <w:link w:val="6"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7">
    <w:name w:val="标题 6 字符"/>
    <w:basedOn w:val="21"/>
    <w:link w:val="7"/>
    <w:semiHidden/>
    <w:qFormat/>
    <w:uiPriority w:val="9"/>
    <w:rPr>
      <w:rFonts w:cstheme="majorBidi"/>
      <w:b/>
      <w:bCs/>
      <w:color w:val="2F5597" w:themeColor="accent1" w:themeShade="BF"/>
      <w:sz w:val="24"/>
      <w:szCs w:val="24"/>
    </w:rPr>
  </w:style>
  <w:style w:type="character" w:customStyle="1" w:styleId="28">
    <w:name w:val="标题 7 字符"/>
    <w:basedOn w:val="21"/>
    <w:link w:val="8"/>
    <w:semiHidden/>
    <w:qFormat/>
    <w:uiPriority w:val="9"/>
    <w:rPr>
      <w:rFonts w:cstheme="majorBidi"/>
      <w:b/>
      <w:bCs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8 字符"/>
    <w:basedOn w:val="21"/>
    <w:link w:val="9"/>
    <w:semiHidden/>
    <w:qFormat/>
    <w:uiPriority w:val="9"/>
    <w:rPr>
      <w:rFonts w:cstheme="majorBidi"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标题 9 字符"/>
    <w:basedOn w:val="21"/>
    <w:link w:val="10"/>
    <w:semiHidden/>
    <w:qFormat/>
    <w:uiPriority w:val="9"/>
    <w:rPr>
      <w:rFonts w:eastAsiaTheme="majorEastAsia" w:cstheme="majorBidi"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1">
    <w:name w:val="标题 字符"/>
    <w:basedOn w:val="21"/>
    <w:link w:val="19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2">
    <w:name w:val="副标题 字符"/>
    <w:basedOn w:val="21"/>
    <w:link w:val="18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3">
    <w:name w:val="Quote"/>
    <w:basedOn w:val="1"/>
    <w:next w:val="1"/>
    <w:link w:val="34"/>
    <w:qFormat/>
    <w:uiPriority w:val="29"/>
    <w:pPr>
      <w:spacing w:before="160" w:after="160"/>
      <w:jc w:val="center"/>
    </w:pPr>
    <w:rPr>
      <w:rFonts w:ascii="Times New Roman" w:hAnsi="Times New Roman" w:eastAsia="仿宋_GB2312"/>
      <w:i/>
      <w:iCs/>
      <w:color w:val="404040" w:themeColor="text1" w:themeTint="BF"/>
      <w:sz w:val="24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4">
    <w:name w:val="引用 字符"/>
    <w:basedOn w:val="21"/>
    <w:link w:val="33"/>
    <w:qFormat/>
    <w:uiPriority w:val="29"/>
    <w:rPr>
      <w:rFonts w:ascii="Times New Roman" w:hAnsi="Times New Roman" w:eastAsia="仿宋_GB2312" w:cs="Times New Roman"/>
      <w:i/>
      <w:iCs/>
      <w:color w:val="404040" w:themeColor="text1" w:themeTint="BF"/>
      <w:sz w:val="24"/>
      <w:szCs w:val="24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5">
    <w:name w:val="List Paragraph"/>
    <w:basedOn w:val="1"/>
    <w:qFormat/>
    <w:uiPriority w:val="34"/>
    <w:pPr>
      <w:ind w:left="720"/>
      <w:contextualSpacing/>
    </w:pPr>
    <w:rPr>
      <w:rFonts w:ascii="Times New Roman" w:hAnsi="Times New Roman" w:eastAsia="仿宋_GB2312"/>
      <w:sz w:val="24"/>
    </w:rPr>
  </w:style>
  <w:style w:type="character" w:customStyle="1" w:styleId="36">
    <w:name w:val="Intense Emphasis"/>
    <w:basedOn w:val="21"/>
    <w:qFormat/>
    <w:uiPriority w:val="21"/>
    <w:rPr>
      <w:i/>
      <w:iCs/>
      <w:color w:val="2F5597" w:themeColor="accent1" w:themeShade="BF"/>
    </w:rPr>
  </w:style>
  <w:style w:type="paragraph" w:styleId="37">
    <w:name w:val="Intense Quote"/>
    <w:basedOn w:val="1"/>
    <w:next w:val="1"/>
    <w:link w:val="38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rFonts w:ascii="Times New Roman" w:hAnsi="Times New Roman" w:eastAsia="仿宋_GB2312"/>
      <w:i/>
      <w:iCs/>
      <w:color w:val="2F5597" w:themeColor="accent1" w:themeShade="BF"/>
      <w:sz w:val="24"/>
    </w:rPr>
  </w:style>
  <w:style w:type="character" w:customStyle="1" w:styleId="38">
    <w:name w:val="明显引用 字符"/>
    <w:basedOn w:val="21"/>
    <w:link w:val="37"/>
    <w:qFormat/>
    <w:uiPriority w:val="30"/>
    <w:rPr>
      <w:rFonts w:ascii="Times New Roman" w:hAnsi="Times New Roman" w:eastAsia="仿宋_GB2312" w:cs="Times New Roman"/>
      <w:i/>
      <w:iCs/>
      <w:color w:val="2F5597" w:themeColor="accent1" w:themeShade="BF"/>
      <w:sz w:val="24"/>
      <w:szCs w:val="24"/>
    </w:rPr>
  </w:style>
  <w:style w:type="character" w:customStyle="1" w:styleId="39">
    <w:name w:val="Intense Reference"/>
    <w:basedOn w:val="21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40">
    <w:name w:val="正文文本缩进 2 字符"/>
    <w:basedOn w:val="21"/>
    <w:link w:val="15"/>
    <w:qFormat/>
    <w:uiPriority w:val="0"/>
    <w:rPr>
      <w:rFonts w:ascii="Calibri" w:hAnsi="Calibri" w:eastAsia="方正仿宋_GBK" w:cs="Times New Roman"/>
      <w:spacing w:val="6"/>
      <w:sz w:val="30"/>
    </w:rPr>
  </w:style>
  <w:style w:type="character" w:customStyle="1" w:styleId="41">
    <w:name w:val="正文文本 字符"/>
    <w:basedOn w:val="21"/>
    <w:link w:val="11"/>
    <w:semiHidden/>
    <w:qFormat/>
    <w:uiPriority w:val="0"/>
    <w:rPr>
      <w:rFonts w:ascii="Arial" w:hAnsi="Arial" w:eastAsia="Arial" w:cs="Arial"/>
      <w:szCs w:val="21"/>
      <w:lang w:eastAsia="en-US"/>
    </w:rPr>
  </w:style>
  <w:style w:type="character" w:customStyle="1" w:styleId="42">
    <w:name w:val="正文文本缩进 字符"/>
    <w:basedOn w:val="21"/>
    <w:link w:val="13"/>
    <w:qFormat/>
    <w:uiPriority w:val="0"/>
    <w:rPr>
      <w:rFonts w:ascii="Calibri" w:hAnsi="Calibri" w:eastAsia="仿宋_GB2312" w:cs="Times New Roman"/>
      <w:sz w:val="30"/>
      <w:szCs w:val="24"/>
    </w:rPr>
  </w:style>
  <w:style w:type="character" w:customStyle="1" w:styleId="43">
    <w:name w:val="页眉 字符"/>
    <w:basedOn w:val="21"/>
    <w:link w:val="17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44">
    <w:name w:val="页脚 字符"/>
    <w:basedOn w:val="21"/>
    <w:link w:val="16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1140</Words>
  <Characters>1307</Characters>
  <Lines>10</Lines>
  <Paragraphs>2</Paragraphs>
  <TotalTime>6</TotalTime>
  <ScaleCrop>false</ScaleCrop>
  <LinksUpToDate>false</LinksUpToDate>
  <CharactersWithSpaces>1329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2025-11-11T17:05:00Z</dcterms:created>
  <dc:creator>v</dc:creator>
  <cp:lastModifiedBy>～小太阳。</cp:lastModifiedBy>
  <cp:lastPrinted>2026-01-27T00:30:25Z</cp:lastPrinted>
  <dcterms:modified xsi:type="dcterms:W3CDTF">2026-01-27T00:30:33Z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eyJoZGlkIjoiN2JhZWQ5OTNmMDkxZjMwYjU4ZmUwNzc3NTdiZGUwY2IiLCJ1c2VySWQiOiIxMDc2NTE4NzkzIn0=</vt:lpwstr>
  </property>
  <property fmtid="{D5CDD505-2E9C-101B-9397-08002B2CF9AE}" pid="3" name="KSOProductBuildVer">
    <vt:lpwstr>2052-12.1.0.24657</vt:lpwstr>
  </property>
  <property fmtid="{D5CDD505-2E9C-101B-9397-08002B2CF9AE}" pid="4" name="ICV">
    <vt:lpwstr>12E6047DE19C4590BA08108D9AE7DB26_13</vt:lpwstr>
  </property>
</Properties>
</file>