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6A7C4">
      <w:pPr>
        <w:pStyle w:val="11"/>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ascii="Times New Roman" w:hAnsi="Times New Roman" w:eastAsia="方正小标宋_GBK" w:cs="Times New Roman"/>
          <w:color w:val="000000"/>
          <w:sz w:val="44"/>
          <w:lang w:eastAsia="zh-CN"/>
        </w:rPr>
      </w:pPr>
      <w:bookmarkStart w:id="0" w:name="_Toc2123423747_WPSOffice_Level1"/>
      <w:bookmarkStart w:id="1" w:name="_Toc178124550_WPSOffice_Level1"/>
      <w:bookmarkStart w:id="2" w:name="_Toc1670908148_WPSOffice_Level1"/>
      <w:bookmarkStart w:id="3" w:name="_Toc678217306_WPSOffice_Level1"/>
    </w:p>
    <w:p w14:paraId="61C93711">
      <w:pPr>
        <w:pStyle w:val="11"/>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pPr>
    </w:p>
    <w:p w14:paraId="1A9CE95E">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pPr>
    </w:p>
    <w:p w14:paraId="54A35A3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pPr>
    </w:p>
    <w:p w14:paraId="0B0DE4B6">
      <w:pPr>
        <w:pStyle w:val="15"/>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pPr>
    </w:p>
    <w:p w14:paraId="3961E1E7">
      <w:pPr>
        <w:pStyle w:val="15"/>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pPr>
    </w:p>
    <w:p w14:paraId="28F4C4A3">
      <w:pPr>
        <w:pStyle w:val="15"/>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pPr>
    </w:p>
    <w:p w14:paraId="01660C84">
      <w:pPr>
        <w:spacing w:line="600" w:lineRule="exact"/>
        <w:jc w:val="center"/>
        <w:rPr>
          <w:rFonts w:ascii="仿宋_GB2312" w:eastAsia="仿宋_GB2312"/>
          <w:sz w:val="32"/>
        </w:rPr>
      </w:pPr>
      <w:r>
        <w:rPr>
          <w:rFonts w:hint="eastAsia" w:ascii="仿宋_GB2312" w:eastAsia="仿宋_GB2312"/>
          <w:sz w:val="32"/>
        </w:rPr>
        <w:t>常财审</w:t>
      </w:r>
      <w:r>
        <w:rPr>
          <w:rFonts w:hint="eastAsia" w:ascii="仿宋_GB2312" w:hAnsi="仿宋_GB2312" w:eastAsia="仿宋_GB2312"/>
          <w:sz w:val="32"/>
        </w:rPr>
        <w:t>〔202</w:t>
      </w:r>
      <w:r>
        <w:rPr>
          <w:rFonts w:hint="eastAsia" w:ascii="仿宋_GB2312" w:hAnsi="仿宋_GB2312" w:eastAsia="仿宋_GB2312"/>
          <w:sz w:val="32"/>
          <w:lang w:val="en-US" w:eastAsia="zh-CN"/>
        </w:rPr>
        <w:t>6</w:t>
      </w:r>
      <w:r>
        <w:rPr>
          <w:rFonts w:hint="eastAsia" w:ascii="仿宋_GB2312" w:hAnsi="仿宋_GB2312" w:eastAsia="仿宋_GB2312"/>
          <w:sz w:val="32"/>
        </w:rPr>
        <w:t>〕预</w:t>
      </w:r>
      <w:r>
        <w:rPr>
          <w:rFonts w:hint="eastAsia" w:ascii="仿宋_GB2312" w:eastAsia="仿宋_GB2312"/>
          <w:sz w:val="32"/>
        </w:rPr>
        <w:t>字</w:t>
      </w:r>
      <w:r>
        <w:rPr>
          <w:rFonts w:hint="eastAsia" w:ascii="仿宋_GB2312" w:eastAsia="仿宋_GB2312"/>
          <w:sz w:val="32"/>
          <w:lang w:val="en-US" w:eastAsia="zh-CN"/>
        </w:rPr>
        <w:t>9</w:t>
      </w:r>
      <w:r>
        <w:rPr>
          <w:rFonts w:hint="eastAsia" w:ascii="仿宋_GB2312" w:eastAsia="仿宋_GB2312"/>
          <w:sz w:val="32"/>
        </w:rPr>
        <w:t>号</w:t>
      </w:r>
    </w:p>
    <w:p w14:paraId="4C6261E6">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ascii="Times New Roman" w:hAnsi="Times New Roman" w:eastAsia="方正小标宋_GBK" w:cs="Times New Roman"/>
          <w:color w:val="000000"/>
          <w:sz w:val="44"/>
          <w:lang w:eastAsia="zh-CN"/>
        </w:rPr>
      </w:pPr>
    </w:p>
    <w:p w14:paraId="53833AF8">
      <w:pPr>
        <w:pStyle w:val="11"/>
        <w:spacing w:line="600" w:lineRule="exact"/>
        <w:jc w:val="center"/>
        <w:outlineLvl w:val="0"/>
        <w:rPr>
          <w:rFonts w:hint="eastAsia" w:ascii="宋体" w:hAnsi="宋体" w:eastAsia="宋体" w:cs="宋体"/>
          <w:color w:val="000000"/>
          <w:sz w:val="44"/>
          <w:lang w:eastAsia="zh-CN"/>
        </w:rPr>
      </w:pPr>
      <w:r>
        <w:rPr>
          <w:rFonts w:hint="eastAsia" w:ascii="宋体" w:hAnsi="宋体" w:eastAsia="宋体" w:cs="宋体"/>
          <w:color w:val="000000"/>
          <w:sz w:val="44"/>
          <w:lang w:eastAsia="zh-CN"/>
        </w:rPr>
        <w:t>关于</w:t>
      </w:r>
      <w:r>
        <w:rPr>
          <w:rFonts w:hint="eastAsia" w:ascii="宋体" w:hAnsi="宋体" w:eastAsia="宋体" w:cs="宋体"/>
          <w:color w:val="000000"/>
          <w:sz w:val="44"/>
          <w:lang w:val="en-US" w:eastAsia="zh-CN"/>
        </w:rPr>
        <w:t>湖南幼儿师范高等专科学校培训楼三楼</w:t>
      </w:r>
      <w:r>
        <w:rPr>
          <w:rFonts w:hint="eastAsia" w:ascii="宋体" w:hAnsi="宋体" w:eastAsia="宋体" w:cs="宋体"/>
          <w:color w:val="000000"/>
          <w:sz w:val="44"/>
          <w:lang w:val="en-US" w:eastAsia="zh-CN"/>
        </w:rPr>
        <w:br w:type="textWrapping"/>
      </w:r>
      <w:r>
        <w:rPr>
          <w:rFonts w:hint="eastAsia" w:ascii="宋体" w:hAnsi="宋体" w:eastAsia="宋体" w:cs="宋体"/>
          <w:color w:val="000000"/>
          <w:sz w:val="44"/>
          <w:lang w:val="en-US" w:eastAsia="zh-CN"/>
        </w:rPr>
        <w:t>学员宿舍维修改造工程</w:t>
      </w:r>
      <w:r>
        <w:rPr>
          <w:rFonts w:hint="eastAsia" w:ascii="宋体" w:hAnsi="宋体" w:eastAsia="宋体" w:cs="宋体"/>
          <w:color w:val="000000"/>
          <w:sz w:val="44"/>
          <w:lang w:eastAsia="zh-CN"/>
        </w:rPr>
        <w:t>预算执行的</w:t>
      </w:r>
      <w:bookmarkEnd w:id="0"/>
      <w:bookmarkEnd w:id="1"/>
      <w:bookmarkEnd w:id="2"/>
      <w:bookmarkEnd w:id="3"/>
      <w:r>
        <w:rPr>
          <w:rFonts w:hint="eastAsia" w:ascii="宋体" w:hAnsi="宋体" w:eastAsia="宋体" w:cs="宋体"/>
          <w:color w:val="000000"/>
          <w:sz w:val="44"/>
          <w:lang w:eastAsia="zh-CN"/>
        </w:rPr>
        <w:t>评审报告</w:t>
      </w:r>
    </w:p>
    <w:p w14:paraId="183234A1">
      <w:pPr>
        <w:spacing w:line="600" w:lineRule="exact"/>
        <w:ind w:firstLine="640" w:firstLineChars="200"/>
        <w:rPr>
          <w:rFonts w:ascii="Times New Roman" w:hAnsi="Times New Roman" w:eastAsia="仿宋_GB2312"/>
          <w:color w:val="000000"/>
          <w:sz w:val="32"/>
          <w:szCs w:val="32"/>
        </w:rPr>
      </w:pPr>
    </w:p>
    <w:p w14:paraId="138FD36E">
      <w:pPr>
        <w:keepNext w:val="0"/>
        <w:keepLines w:val="0"/>
        <w:pageBreakBefore w:val="0"/>
        <w:widowControl w:val="0"/>
        <w:kinsoku/>
        <w:overflowPunct w:val="0"/>
        <w:topLinePunct w:val="0"/>
        <w:autoSpaceDE/>
        <w:autoSpaceDN/>
        <w:bidi w:val="0"/>
        <w:adjustRightInd/>
        <w:snapToGrid/>
        <w:spacing w:line="240" w:lineRule="auto"/>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常德市财政</w:t>
      </w:r>
      <w:r>
        <w:rPr>
          <w:rFonts w:hint="eastAsia" w:ascii="仿宋_GB2312" w:hAnsi="仿宋_GB2312" w:eastAsia="仿宋_GB2312" w:cs="仿宋_GB2312"/>
          <w:sz w:val="32"/>
          <w:szCs w:val="32"/>
          <w:lang w:val="en-US" w:eastAsia="zh-CN"/>
        </w:rPr>
        <w:t>局科教科</w:t>
      </w:r>
      <w:r>
        <w:rPr>
          <w:rFonts w:hint="eastAsia" w:ascii="仿宋_GB2312" w:hAnsi="仿宋_GB2312" w:eastAsia="仿宋_GB2312" w:cs="仿宋_GB2312"/>
          <w:color w:val="000000"/>
          <w:sz w:val="32"/>
          <w:szCs w:val="32"/>
        </w:rPr>
        <w:t>：</w:t>
      </w:r>
    </w:p>
    <w:p w14:paraId="4A51136D">
      <w:pPr>
        <w:keepNext w:val="0"/>
        <w:keepLines w:val="0"/>
        <w:pageBreakBefore w:val="0"/>
        <w:widowControl w:val="0"/>
        <w:kinsoku/>
        <w:wordWrap/>
        <w:overflowPunct w:val="0"/>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湖南幼儿师范高等专科学校培训楼三楼学员宿舍维修改造工程</w:t>
      </w:r>
      <w:r>
        <w:rPr>
          <w:rFonts w:hint="eastAsia" w:ascii="仿宋_GB2312" w:hAnsi="仿宋_GB2312" w:eastAsia="仿宋_GB2312" w:cs="仿宋_GB2312"/>
          <w:color w:val="000000"/>
          <w:sz w:val="32"/>
          <w:szCs w:val="32"/>
        </w:rPr>
        <w:t>》相关资料收悉，按照客观、公正、科学的评审原则，我中心组织对该项目开展预算执行评审，具体情况如下：</w:t>
      </w:r>
    </w:p>
    <w:p w14:paraId="25EAD115">
      <w:pPr>
        <w:pStyle w:val="13"/>
        <w:keepNext w:val="0"/>
        <w:keepLines w:val="0"/>
        <w:pageBreakBefore w:val="0"/>
        <w:widowControl w:val="0"/>
        <w:tabs>
          <w:tab w:val="left" w:pos="6266"/>
        </w:tabs>
        <w:kinsoku/>
        <w:wordWrap/>
        <w:topLinePunct w:val="0"/>
        <w:autoSpaceDE/>
        <w:autoSpaceDN/>
        <w:bidi w:val="0"/>
        <w:adjustRightInd/>
        <w:snapToGrid/>
        <w:spacing w:line="540" w:lineRule="exact"/>
        <w:ind w:left="0" w:firstLine="640" w:firstLineChars="200"/>
        <w:textAlignment w:val="auto"/>
        <w:outlineLvl w:val="0"/>
        <w:rPr>
          <w:rFonts w:ascii="黑体" w:hAnsi="黑体" w:eastAsia="黑体" w:cs="黑体"/>
          <w:color w:val="000000"/>
          <w:sz w:val="32"/>
          <w:szCs w:val="32"/>
        </w:rPr>
      </w:pPr>
      <w:bookmarkStart w:id="4" w:name="_Toc445877422_WPSOffice_Level1"/>
      <w:bookmarkStart w:id="5" w:name="_Toc1862220243_WPSOffice_Level1"/>
      <w:bookmarkStart w:id="6" w:name="_Toc215626143_WPSOffice_Level1"/>
      <w:bookmarkStart w:id="7" w:name="_Toc891472834_WPSOffice_Level1"/>
      <w:r>
        <w:rPr>
          <w:rFonts w:hint="eastAsia" w:ascii="黑体" w:hAnsi="黑体" w:eastAsia="黑体" w:cs="黑体"/>
          <w:color w:val="000000"/>
          <w:sz w:val="32"/>
          <w:szCs w:val="32"/>
        </w:rPr>
        <w:t>一、项目概况</w:t>
      </w:r>
      <w:bookmarkEnd w:id="4"/>
      <w:bookmarkEnd w:id="5"/>
      <w:bookmarkEnd w:id="6"/>
      <w:bookmarkEnd w:id="7"/>
    </w:p>
    <w:p w14:paraId="20EE3049">
      <w:pPr>
        <w:keepNext w:val="0"/>
        <w:keepLines w:val="0"/>
        <w:pageBreakBefore w:val="0"/>
        <w:widowControl w:val="0"/>
        <w:kinsoku/>
        <w:wordWrap/>
        <w:topLinePunct w:val="0"/>
        <w:autoSpaceDE/>
        <w:autoSpaceDN/>
        <w:bidi w:val="0"/>
        <w:adjustRightInd/>
        <w:snapToGrid/>
        <w:spacing w:line="540" w:lineRule="exact"/>
        <w:ind w:left="0" w:firstLine="640" w:firstLineChars="200"/>
        <w:textAlignment w:val="auto"/>
        <w:outlineLvl w:val="1"/>
        <w:rPr>
          <w:rFonts w:ascii="Times New Roman" w:hAnsi="Times New Roman" w:eastAsia="楷体_GB2312"/>
          <w:b w:val="0"/>
          <w:bCs w:val="0"/>
          <w:sz w:val="32"/>
          <w:szCs w:val="32"/>
        </w:rPr>
      </w:pPr>
      <w:bookmarkStart w:id="8" w:name="_Toc1067922961_WPSOffice_Level2"/>
      <w:bookmarkStart w:id="9" w:name="_Toc222933592_WPSOffice_Level2"/>
      <w:bookmarkStart w:id="10" w:name="_Toc472741964_WPSOffice_Level2"/>
      <w:bookmarkStart w:id="11" w:name="_Toc90632560_WPSOffice_Level2"/>
      <w:r>
        <w:rPr>
          <w:rFonts w:ascii="Times New Roman" w:hAnsi="Times New Roman" w:eastAsia="楷体_GB2312"/>
          <w:b w:val="0"/>
          <w:bCs w:val="0"/>
          <w:sz w:val="32"/>
          <w:szCs w:val="32"/>
        </w:rPr>
        <w:t>（一）项目基本情况</w:t>
      </w:r>
      <w:bookmarkEnd w:id="8"/>
      <w:bookmarkEnd w:id="9"/>
      <w:bookmarkEnd w:id="10"/>
      <w:bookmarkEnd w:id="11"/>
    </w:p>
    <w:p w14:paraId="232F394D">
      <w:pPr>
        <w:keepNext w:val="0"/>
        <w:keepLines w:val="0"/>
        <w:pageBreakBefore w:val="0"/>
        <w:widowControl w:val="0"/>
        <w:kinsoku/>
        <w:wordWrap/>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color w:val="000000"/>
          <w:sz w:val="32"/>
          <w:szCs w:val="32"/>
          <w:highlight w:val="yellow"/>
        </w:rPr>
      </w:pPr>
      <w:r>
        <w:rPr>
          <w:rFonts w:hint="eastAsia" w:ascii="仿宋_GB2312" w:hAnsi="仿宋_GB2312" w:eastAsia="仿宋_GB2312" w:cs="仿宋_GB2312"/>
          <w:color w:val="000000"/>
          <w:sz w:val="32"/>
          <w:szCs w:val="32"/>
          <w:lang w:eastAsia="zh-CN"/>
        </w:rPr>
        <w:t>资金来源为</w:t>
      </w:r>
      <w:r>
        <w:rPr>
          <w:rFonts w:hint="eastAsia" w:ascii="仿宋_GB2312" w:hAnsi="仿宋_GB2312" w:eastAsia="仿宋_GB2312" w:cs="仿宋_GB2312"/>
          <w:color w:val="000000"/>
          <w:sz w:val="32"/>
          <w:szCs w:val="32"/>
          <w:lang w:val="en-US" w:eastAsia="zh-CN"/>
        </w:rPr>
        <w:t>2025年“高职院校奖补”</w:t>
      </w:r>
      <w:r>
        <w:rPr>
          <w:rFonts w:hint="eastAsia" w:ascii="仿宋_GB2312" w:hAnsi="仿宋_GB2312" w:eastAsia="仿宋_GB2312" w:cs="仿宋_GB2312"/>
          <w:color w:val="000000"/>
          <w:sz w:val="32"/>
          <w:szCs w:val="32"/>
          <w:lang w:eastAsia="zh-CN"/>
        </w:rPr>
        <w:t>。</w:t>
      </w:r>
    </w:p>
    <w:p w14:paraId="4CAF768E">
      <w:pPr>
        <w:keepNext w:val="0"/>
        <w:keepLines w:val="0"/>
        <w:pageBreakBefore w:val="0"/>
        <w:widowControl w:val="0"/>
        <w:kinsoku/>
        <w:wordWrap/>
        <w:topLinePunct w:val="0"/>
        <w:autoSpaceDE/>
        <w:autoSpaceDN/>
        <w:bidi w:val="0"/>
        <w:adjustRightInd/>
        <w:snapToGrid/>
        <w:spacing w:line="540" w:lineRule="exact"/>
        <w:ind w:left="0" w:firstLine="640" w:firstLineChars="200"/>
        <w:textAlignment w:val="auto"/>
        <w:outlineLvl w:val="1"/>
        <w:rPr>
          <w:rFonts w:ascii="Times New Roman" w:hAnsi="Times New Roman" w:eastAsia="楷体_GB2312"/>
          <w:b w:val="0"/>
          <w:bCs w:val="0"/>
          <w:sz w:val="32"/>
          <w:szCs w:val="32"/>
        </w:rPr>
      </w:pPr>
      <w:bookmarkStart w:id="12" w:name="_Toc1094448419_WPSOffice_Level2"/>
      <w:bookmarkStart w:id="13" w:name="_Toc1069041809_WPSOffice_Level2"/>
      <w:bookmarkStart w:id="14" w:name="_Toc830963703_WPSOffice_Level2"/>
      <w:bookmarkStart w:id="15" w:name="_Toc1446308865_WPSOffice_Level2"/>
      <w:r>
        <w:rPr>
          <w:rFonts w:ascii="Times New Roman" w:hAnsi="Times New Roman" w:eastAsia="楷体_GB2312"/>
          <w:b w:val="0"/>
          <w:bCs w:val="0"/>
          <w:sz w:val="32"/>
          <w:szCs w:val="32"/>
        </w:rPr>
        <w:t>（二）项目主要内容</w:t>
      </w:r>
      <w:bookmarkEnd w:id="12"/>
      <w:bookmarkEnd w:id="13"/>
      <w:bookmarkEnd w:id="14"/>
      <w:bookmarkEnd w:id="15"/>
    </w:p>
    <w:p w14:paraId="7828461D">
      <w:pPr>
        <w:keepNext w:val="0"/>
        <w:keepLines w:val="0"/>
        <w:pageBreakBefore w:val="0"/>
        <w:widowControl w:val="0"/>
        <w:kinsoku/>
        <w:wordWrap/>
        <w:topLinePunct w:val="0"/>
        <w:autoSpaceDE/>
        <w:autoSpaceDN/>
        <w:bidi w:val="0"/>
        <w:adjustRightInd/>
        <w:snapToGrid/>
        <w:spacing w:line="540" w:lineRule="exact"/>
        <w:ind w:left="0"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项目主要改造内容：培训楼三楼共改造34间卫生间和36间房间，更换39樘房门。卫生间内天棚铝扣板更换，墙面防水后贴400*800瓷砖，地面重新翻仓，洁具、隔断等整体更换。房间内墙面、天棚重新涂刷3遍乳胶漆，护墙板更换。二楼部分吊顶修补。</w:t>
      </w:r>
    </w:p>
    <w:p w14:paraId="114F1FDA">
      <w:pPr>
        <w:pStyle w:val="13"/>
        <w:keepNext w:val="0"/>
        <w:keepLines w:val="0"/>
        <w:pageBreakBefore w:val="0"/>
        <w:widowControl w:val="0"/>
        <w:tabs>
          <w:tab w:val="left" w:pos="6266"/>
        </w:tabs>
        <w:kinsoku/>
        <w:wordWrap/>
        <w:topLinePunct w:val="0"/>
        <w:autoSpaceDE/>
        <w:autoSpaceDN/>
        <w:bidi w:val="0"/>
        <w:adjustRightInd/>
        <w:snapToGrid/>
        <w:spacing w:line="540" w:lineRule="exact"/>
        <w:ind w:left="0" w:firstLine="640" w:firstLineChars="200"/>
        <w:textAlignment w:val="auto"/>
        <w:outlineLvl w:val="0"/>
        <w:rPr>
          <w:rFonts w:ascii="黑体" w:hAnsi="黑体" w:eastAsia="黑体" w:cs="黑体"/>
          <w:color w:val="000000"/>
          <w:sz w:val="32"/>
          <w:szCs w:val="32"/>
        </w:rPr>
      </w:pPr>
      <w:bookmarkStart w:id="16" w:name="_Toc976241670_WPSOffice_Level1"/>
      <w:bookmarkStart w:id="17" w:name="_Toc581615128_WPSOffice_Level1"/>
      <w:bookmarkStart w:id="18" w:name="_Toc1890145904_WPSOffice_Level1"/>
      <w:bookmarkStart w:id="19" w:name="_Toc182692291_WPSOffice_Level1"/>
      <w:r>
        <w:rPr>
          <w:rFonts w:hint="eastAsia" w:ascii="黑体" w:hAnsi="黑体" w:eastAsia="黑体" w:cs="黑体"/>
          <w:color w:val="000000"/>
          <w:sz w:val="32"/>
          <w:szCs w:val="32"/>
        </w:rPr>
        <w:t>二、评审依据</w:t>
      </w:r>
      <w:bookmarkEnd w:id="16"/>
      <w:bookmarkEnd w:id="17"/>
      <w:bookmarkEnd w:id="18"/>
      <w:bookmarkEnd w:id="19"/>
    </w:p>
    <w:p w14:paraId="168A225C">
      <w:pPr>
        <w:pStyle w:val="35"/>
        <w:keepNext w:val="0"/>
        <w:keepLines w:val="0"/>
        <w:pageBreakBefore w:val="0"/>
        <w:widowControl w:val="0"/>
        <w:numPr>
          <w:ilvl w:val="0"/>
          <w:numId w:val="0"/>
        </w:numPr>
        <w:kinsoku/>
        <w:wordWrap/>
        <w:topLinePunct w:val="0"/>
        <w:autoSpaceDE/>
        <w:autoSpaceDN/>
        <w:bidi w:val="0"/>
        <w:adjustRightInd/>
        <w:snapToGrid/>
        <w:spacing w:line="540" w:lineRule="exact"/>
        <w:ind w:left="0" w:leftChars="0" w:firstLine="640" w:firstLineChars="200"/>
        <w:textAlignment w:val="auto"/>
        <w:rPr>
          <w:rFonts w:ascii="仿宋_GB2312" w:hAnsi="仿宋_GB2312" w:cs="仿宋_GB2312"/>
          <w:sz w:val="32"/>
          <w:szCs w:val="32"/>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cs="仿宋_GB2312"/>
          <w:kern w:val="2"/>
          <w:sz w:val="32"/>
          <w:szCs w:val="32"/>
          <w:lang w:val="en-US" w:eastAsia="zh-CN" w:bidi="ar-SA"/>
        </w:rPr>
        <w:t xml:space="preserve"> </w:t>
      </w:r>
      <w:r>
        <w:rPr>
          <w:rFonts w:hint="eastAsia" w:ascii="仿宋_GB2312" w:hAnsi="仿宋_GB2312" w:cs="仿宋_GB2312"/>
          <w:sz w:val="32"/>
          <w:szCs w:val="32"/>
        </w:rPr>
        <w:t>《中华人民共和国预算法》</w:t>
      </w:r>
      <w:r>
        <w:rPr>
          <w:rFonts w:hint="eastAsia" w:ascii="仿宋_GB2312" w:hAnsi="仿宋_GB2312" w:cs="仿宋_GB2312"/>
          <w:sz w:val="32"/>
          <w:szCs w:val="32"/>
          <w:lang w:eastAsia="zh-CN"/>
        </w:rPr>
        <w:t>、</w:t>
      </w:r>
      <w:r>
        <w:rPr>
          <w:rFonts w:hint="eastAsia" w:ascii="仿宋_GB2312" w:hAnsi="仿宋_GB2312" w:cs="仿宋_GB2312"/>
          <w:sz w:val="32"/>
          <w:szCs w:val="32"/>
        </w:rPr>
        <w:t>《中华人民共和国预算法实施条例》</w:t>
      </w:r>
      <w:r>
        <w:rPr>
          <w:rFonts w:hint="eastAsia" w:ascii="仿宋_GB2312" w:hAnsi="仿宋_GB2312" w:cs="仿宋_GB2312"/>
          <w:bCs/>
          <w:sz w:val="32"/>
          <w:szCs w:val="32"/>
        </w:rPr>
        <w:t>等法律法规。</w:t>
      </w:r>
    </w:p>
    <w:p w14:paraId="4F70B499">
      <w:pPr>
        <w:pStyle w:val="35"/>
        <w:keepNext w:val="0"/>
        <w:keepLines w:val="0"/>
        <w:pageBreakBefore w:val="0"/>
        <w:widowControl w:val="0"/>
        <w:numPr>
          <w:ilvl w:val="0"/>
          <w:numId w:val="0"/>
        </w:numPr>
        <w:kinsoku/>
        <w:wordWrap/>
        <w:topLinePunct w:val="0"/>
        <w:autoSpaceDE/>
        <w:autoSpaceDN/>
        <w:bidi w:val="0"/>
        <w:adjustRightInd/>
        <w:snapToGrid/>
        <w:spacing w:line="540" w:lineRule="exact"/>
        <w:ind w:left="0" w:leftChars="0" w:firstLine="640" w:firstLineChars="200"/>
        <w:textAlignment w:val="auto"/>
        <w:rPr>
          <w:rFonts w:ascii="仿宋_GB2312" w:hAnsi="仿宋_GB2312" w:cs="仿宋_GB2312"/>
          <w:color w:val="000000"/>
          <w:sz w:val="32"/>
          <w:szCs w:val="32"/>
        </w:rPr>
      </w:pPr>
      <w:r>
        <w:rPr>
          <w:rFonts w:hint="eastAsia" w:ascii="仿宋_GB2312" w:hAnsi="仿宋_GB2312" w:eastAsia="仿宋_GB2312" w:cs="仿宋_GB2312"/>
          <w:color w:val="000000"/>
          <w:kern w:val="2"/>
          <w:sz w:val="32"/>
          <w:szCs w:val="32"/>
          <w:lang w:val="en-US" w:eastAsia="zh-CN" w:bidi="ar-SA"/>
        </w:rPr>
        <w:t>2.</w:t>
      </w:r>
      <w:r>
        <w:rPr>
          <w:rFonts w:hint="eastAsia" w:ascii="仿宋_GB2312" w:hAnsi="仿宋_GB2312" w:cs="仿宋_GB2312"/>
          <w:color w:val="000000"/>
          <w:kern w:val="2"/>
          <w:sz w:val="32"/>
          <w:szCs w:val="32"/>
          <w:lang w:val="en-US" w:eastAsia="zh-CN" w:bidi="ar-SA"/>
        </w:rPr>
        <w:t xml:space="preserve"> </w:t>
      </w:r>
      <w:r>
        <w:rPr>
          <w:rFonts w:hint="eastAsia" w:ascii="仿宋_GB2312" w:hAnsi="仿宋_GB2312" w:cs="仿宋_GB2312"/>
          <w:sz w:val="32"/>
          <w:szCs w:val="32"/>
        </w:rPr>
        <w:t>湖南省住房和城乡建设厅《关于执行&lt;建设工程工程量清单计价标准&gt;及配套工程量计算标准的通知》（湘建科函〔</w:t>
      </w:r>
      <w:r>
        <w:rPr>
          <w:rFonts w:ascii="仿宋_GB2312" w:hAnsi="仿宋_GB2312" w:cs="仿宋_GB2312"/>
          <w:sz w:val="32"/>
          <w:szCs w:val="32"/>
        </w:rPr>
        <w:t>2025</w:t>
      </w:r>
      <w:r>
        <w:rPr>
          <w:rFonts w:hint="eastAsia" w:ascii="仿宋_GB2312" w:hAnsi="仿宋_GB2312" w:cs="仿宋_GB2312"/>
          <w:sz w:val="32"/>
          <w:szCs w:val="32"/>
        </w:rPr>
        <w:t>〕</w:t>
      </w:r>
      <w:r>
        <w:rPr>
          <w:rFonts w:ascii="仿宋_GB2312" w:hAnsi="仿宋_GB2312" w:cs="仿宋_GB2312"/>
          <w:sz w:val="32"/>
          <w:szCs w:val="32"/>
        </w:rPr>
        <w:t>15</w:t>
      </w:r>
      <w:r>
        <w:rPr>
          <w:rFonts w:hint="eastAsia" w:ascii="仿宋_GB2312" w:hAnsi="仿宋_GB2312" w:cs="仿宋_GB2312"/>
          <w:sz w:val="32"/>
          <w:szCs w:val="32"/>
        </w:rPr>
        <w:t>0号）。</w:t>
      </w:r>
    </w:p>
    <w:p w14:paraId="1CB36A26">
      <w:pPr>
        <w:pStyle w:val="35"/>
        <w:keepNext w:val="0"/>
        <w:keepLines w:val="0"/>
        <w:pageBreakBefore w:val="0"/>
        <w:widowControl w:val="0"/>
        <w:numPr>
          <w:ilvl w:val="0"/>
          <w:numId w:val="0"/>
        </w:numPr>
        <w:kinsoku/>
        <w:wordWrap/>
        <w:topLinePunct w:val="0"/>
        <w:autoSpaceDE/>
        <w:autoSpaceDN/>
        <w:bidi w:val="0"/>
        <w:adjustRightInd/>
        <w:snapToGrid/>
        <w:spacing w:line="540" w:lineRule="exact"/>
        <w:ind w:left="0" w:leftChars="0" w:firstLine="640" w:firstLineChars="200"/>
        <w:textAlignment w:val="auto"/>
        <w:rPr>
          <w:rFonts w:ascii="仿宋_GB2312" w:hAnsi="仿宋_GB2312" w:cs="仿宋_GB2312"/>
          <w:color w:val="000000"/>
          <w:sz w:val="32"/>
          <w:szCs w:val="32"/>
        </w:rPr>
      </w:pPr>
      <w:r>
        <w:rPr>
          <w:rFonts w:hint="eastAsia" w:ascii="仿宋_GB2312" w:hAnsi="仿宋_GB2312" w:eastAsia="仿宋_GB2312" w:cs="仿宋_GB2312"/>
          <w:color w:val="000000"/>
          <w:kern w:val="2"/>
          <w:sz w:val="32"/>
          <w:szCs w:val="32"/>
          <w:lang w:val="en-US" w:eastAsia="zh-CN" w:bidi="ar-SA"/>
        </w:rPr>
        <w:t>3.</w:t>
      </w:r>
      <w:r>
        <w:rPr>
          <w:rFonts w:hint="eastAsia" w:ascii="仿宋_GB2312" w:hAnsi="仿宋_GB2312" w:cs="仿宋_GB2312"/>
          <w:color w:val="000000"/>
          <w:kern w:val="2"/>
          <w:sz w:val="32"/>
          <w:szCs w:val="32"/>
          <w:lang w:val="en-US" w:eastAsia="zh-CN" w:bidi="ar-SA"/>
        </w:rPr>
        <w:t xml:space="preserve"> </w:t>
      </w:r>
      <w:r>
        <w:rPr>
          <w:rFonts w:hint="eastAsia" w:ascii="仿宋_GB2312" w:hAnsi="仿宋_GB2312" w:cs="仿宋_GB2312"/>
          <w:sz w:val="32"/>
          <w:szCs w:val="32"/>
        </w:rPr>
        <w:t>湖南省住房和城乡建设厅《关于发布</w:t>
      </w:r>
      <w:r>
        <w:rPr>
          <w:rFonts w:ascii="仿宋_GB2312" w:hAnsi="仿宋_GB2312" w:cs="仿宋_GB2312"/>
          <w:sz w:val="32"/>
          <w:szCs w:val="32"/>
        </w:rPr>
        <w:t>2025</w:t>
      </w:r>
      <w:r>
        <w:rPr>
          <w:rFonts w:hint="eastAsia" w:ascii="仿宋_GB2312" w:hAnsi="仿宋_GB2312" w:cs="仿宋_GB2312"/>
          <w:sz w:val="32"/>
          <w:szCs w:val="32"/>
        </w:rPr>
        <w:t>&lt;湖南省建设工程消耗量标准&gt;的通知》（湘建科函〔</w:t>
      </w:r>
      <w:r>
        <w:rPr>
          <w:rFonts w:ascii="仿宋_GB2312" w:hAnsi="仿宋_GB2312" w:cs="仿宋_GB2312"/>
          <w:sz w:val="32"/>
          <w:szCs w:val="32"/>
        </w:rPr>
        <w:t>2025</w:t>
      </w:r>
      <w:r>
        <w:rPr>
          <w:rFonts w:hint="eastAsia" w:ascii="仿宋_GB2312" w:hAnsi="仿宋_GB2312" w:cs="仿宋_GB2312"/>
          <w:sz w:val="32"/>
          <w:szCs w:val="32"/>
        </w:rPr>
        <w:t>〕</w:t>
      </w:r>
      <w:r>
        <w:rPr>
          <w:rFonts w:ascii="仿宋_GB2312" w:hAnsi="仿宋_GB2312" w:cs="仿宋_GB2312"/>
          <w:sz w:val="32"/>
          <w:szCs w:val="32"/>
        </w:rPr>
        <w:t>151</w:t>
      </w:r>
      <w:r>
        <w:rPr>
          <w:rFonts w:hint="eastAsia" w:ascii="仿宋_GB2312" w:hAnsi="仿宋_GB2312" w:cs="仿宋_GB2312"/>
          <w:sz w:val="32"/>
          <w:szCs w:val="32"/>
        </w:rPr>
        <w:t>号）</w:t>
      </w:r>
      <w:r>
        <w:rPr>
          <w:rFonts w:hint="eastAsia" w:ascii="仿宋_GB2312" w:hAnsi="仿宋_GB2312" w:cs="仿宋_GB2312"/>
          <w:color w:val="000000"/>
          <w:sz w:val="32"/>
          <w:szCs w:val="32"/>
        </w:rPr>
        <w:t>。</w:t>
      </w:r>
    </w:p>
    <w:p w14:paraId="6581B695">
      <w:pPr>
        <w:pStyle w:val="35"/>
        <w:keepNext w:val="0"/>
        <w:keepLines w:val="0"/>
        <w:pageBreakBefore w:val="0"/>
        <w:widowControl w:val="0"/>
        <w:numPr>
          <w:ilvl w:val="0"/>
          <w:numId w:val="0"/>
        </w:numPr>
        <w:kinsoku/>
        <w:wordWrap/>
        <w:topLinePunct w:val="0"/>
        <w:autoSpaceDE/>
        <w:autoSpaceDN/>
        <w:bidi w:val="0"/>
        <w:adjustRightInd/>
        <w:snapToGrid/>
        <w:spacing w:line="540" w:lineRule="exact"/>
        <w:ind w:left="0" w:leftChars="0" w:firstLine="640" w:firstLineChars="200"/>
        <w:textAlignment w:val="auto"/>
        <w:rPr>
          <w:rFonts w:hint="eastAsia" w:ascii="仿宋_GB2312" w:hAnsi="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4.</w:t>
      </w:r>
      <w:r>
        <w:rPr>
          <w:rFonts w:hint="eastAsia" w:ascii="仿宋_GB2312" w:hAnsi="仿宋_GB2312" w:cs="仿宋_GB2312"/>
          <w:kern w:val="2"/>
          <w:sz w:val="32"/>
          <w:szCs w:val="32"/>
          <w:lang w:val="en-US" w:eastAsia="zh-CN" w:bidi="ar-SA"/>
        </w:rPr>
        <w:t xml:space="preserve"> </w:t>
      </w:r>
      <w:r>
        <w:rPr>
          <w:rFonts w:hint="eastAsia" w:ascii="仿宋_GB2312" w:hAnsi="仿宋_GB2312" w:cs="仿宋_GB2312"/>
          <w:sz w:val="32"/>
          <w:szCs w:val="32"/>
          <w:lang w:val="en-US" w:eastAsia="zh-CN"/>
        </w:rPr>
        <w:t>常德市财政局《关于规范市本级政府投资项目前期服务性费用评审标准及实行PPP项目前期服务性费用打捆包干政策的通知》（常财办发〔2017〕68号）；</w:t>
      </w:r>
    </w:p>
    <w:p w14:paraId="370BF92F">
      <w:pPr>
        <w:pStyle w:val="35"/>
        <w:keepNext w:val="0"/>
        <w:keepLines w:val="0"/>
        <w:pageBreakBefore w:val="0"/>
        <w:widowControl w:val="0"/>
        <w:numPr>
          <w:ilvl w:val="0"/>
          <w:numId w:val="0"/>
        </w:numPr>
        <w:kinsoku/>
        <w:wordWrap/>
        <w:topLinePunct w:val="0"/>
        <w:autoSpaceDE/>
        <w:autoSpaceDN/>
        <w:bidi w:val="0"/>
        <w:adjustRightInd/>
        <w:snapToGrid/>
        <w:spacing w:line="540" w:lineRule="exact"/>
        <w:ind w:left="0" w:leftChars="0" w:firstLine="640" w:firstLineChars="200"/>
        <w:textAlignment w:val="auto"/>
        <w:outlineLvl w:val="1"/>
        <w:rPr>
          <w:rFonts w:ascii="仿宋_GB2312" w:hAnsi="仿宋_GB2312" w:cs="仿宋_GB2312"/>
          <w:sz w:val="32"/>
          <w:szCs w:val="32"/>
        </w:rPr>
      </w:pPr>
      <w:bookmarkStart w:id="20" w:name="_Toc450291478_WPSOffice_Level2"/>
      <w:bookmarkStart w:id="21" w:name="_Toc479871566_WPSOffice_Level2"/>
      <w:bookmarkStart w:id="22" w:name="_Toc680724078_WPSOffice_Level2"/>
      <w:bookmarkStart w:id="23" w:name="_Toc333544456_WPSOffice_Level2"/>
      <w:r>
        <w:rPr>
          <w:rFonts w:hint="eastAsia" w:ascii="仿宋_GB2312" w:hAnsi="仿宋_GB2312" w:eastAsia="仿宋_GB2312" w:cs="仿宋_GB2312"/>
          <w:kern w:val="2"/>
          <w:sz w:val="32"/>
          <w:szCs w:val="32"/>
          <w:lang w:val="en-US" w:eastAsia="zh-CN" w:bidi="ar-SA"/>
        </w:rPr>
        <w:t>5.</w:t>
      </w:r>
      <w:r>
        <w:rPr>
          <w:rFonts w:hint="eastAsia" w:ascii="仿宋_GB2312" w:hAnsi="仿宋_GB2312" w:cs="仿宋_GB2312"/>
          <w:kern w:val="2"/>
          <w:sz w:val="32"/>
          <w:szCs w:val="32"/>
          <w:lang w:val="en-US" w:eastAsia="zh-CN" w:bidi="ar-SA"/>
        </w:rPr>
        <w:t xml:space="preserve"> </w:t>
      </w:r>
      <w:r>
        <w:rPr>
          <w:rFonts w:hint="eastAsia" w:ascii="仿宋_GB2312" w:hAnsi="仿宋_GB2312" w:cs="仿宋_GB2312"/>
          <w:sz w:val="32"/>
          <w:szCs w:val="32"/>
        </w:rPr>
        <w:t>常德市建设工程造价管理站《关于公布常德市二○二五年第十</w:t>
      </w:r>
      <w:r>
        <w:rPr>
          <w:rFonts w:hint="eastAsia" w:ascii="仿宋_GB2312" w:hAnsi="仿宋_GB2312" w:cs="仿宋_GB2312"/>
          <w:sz w:val="32"/>
          <w:szCs w:val="32"/>
          <w:lang w:val="en-US" w:eastAsia="zh-CN"/>
        </w:rPr>
        <w:t>二</w:t>
      </w:r>
      <w:r>
        <w:rPr>
          <w:rFonts w:hint="eastAsia" w:ascii="仿宋_GB2312" w:hAnsi="仿宋_GB2312" w:cs="仿宋_GB2312"/>
          <w:sz w:val="32"/>
          <w:szCs w:val="32"/>
        </w:rPr>
        <w:t>期建设工程材料市场综合价的通知》（</w:t>
      </w:r>
      <w:r>
        <w:rPr>
          <w:rFonts w:hint="eastAsia" w:ascii="仿宋_GB2312"/>
          <w:sz w:val="32"/>
          <w:szCs w:val="32"/>
        </w:rPr>
        <w:t>常建价〔2025〕1</w:t>
      </w:r>
      <w:r>
        <w:rPr>
          <w:rFonts w:hint="eastAsia" w:ascii="仿宋_GB2312"/>
          <w:sz w:val="32"/>
          <w:szCs w:val="32"/>
          <w:lang w:val="en-US" w:eastAsia="zh-CN"/>
        </w:rPr>
        <w:t>6</w:t>
      </w:r>
      <w:r>
        <w:rPr>
          <w:rFonts w:hint="eastAsia" w:ascii="仿宋_GB2312"/>
          <w:sz w:val="32"/>
          <w:szCs w:val="32"/>
        </w:rPr>
        <w:t>号</w:t>
      </w:r>
      <w:r>
        <w:rPr>
          <w:rFonts w:hint="eastAsia" w:ascii="仿宋_GB2312" w:hAnsi="仿宋_GB2312" w:cs="仿宋_GB2312"/>
          <w:sz w:val="32"/>
          <w:szCs w:val="32"/>
        </w:rPr>
        <w:t>）及市场价格。</w:t>
      </w:r>
      <w:bookmarkEnd w:id="20"/>
      <w:bookmarkEnd w:id="21"/>
      <w:bookmarkEnd w:id="22"/>
      <w:bookmarkEnd w:id="23"/>
    </w:p>
    <w:p w14:paraId="03B1D9B7">
      <w:pPr>
        <w:pStyle w:val="35"/>
        <w:keepNext w:val="0"/>
        <w:keepLines w:val="0"/>
        <w:pageBreakBefore w:val="0"/>
        <w:widowControl w:val="0"/>
        <w:numPr>
          <w:ilvl w:val="0"/>
          <w:numId w:val="0"/>
        </w:numPr>
        <w:kinsoku/>
        <w:wordWrap/>
        <w:topLinePunct w:val="0"/>
        <w:autoSpaceDE/>
        <w:autoSpaceDN/>
        <w:bidi w:val="0"/>
        <w:adjustRightInd/>
        <w:snapToGrid/>
        <w:spacing w:line="540" w:lineRule="exact"/>
        <w:ind w:left="0" w:leftChars="0" w:firstLine="640" w:firstLineChars="200"/>
        <w:textAlignment w:val="auto"/>
        <w:outlineLvl w:val="2"/>
        <w:rPr>
          <w:rFonts w:ascii="仿宋_GB2312" w:hAnsi="仿宋_GB2312" w:cs="仿宋_GB2312"/>
          <w:sz w:val="32"/>
          <w:szCs w:val="32"/>
        </w:rPr>
      </w:pPr>
      <w:bookmarkStart w:id="24" w:name="_Toc863367060_WPSOffice_Level3"/>
      <w:r>
        <w:rPr>
          <w:rFonts w:hint="eastAsia" w:ascii="仿宋_GB2312" w:hAnsi="仿宋_GB2312" w:eastAsia="仿宋_GB2312" w:cs="仿宋_GB2312"/>
          <w:kern w:val="2"/>
          <w:sz w:val="32"/>
          <w:szCs w:val="32"/>
          <w:lang w:val="en-US" w:eastAsia="zh-CN" w:bidi="ar-SA"/>
        </w:rPr>
        <w:t>6.</w:t>
      </w:r>
      <w:r>
        <w:rPr>
          <w:rFonts w:hint="eastAsia" w:ascii="仿宋_GB2312" w:hAnsi="仿宋_GB2312" w:cs="仿宋_GB2312"/>
          <w:kern w:val="2"/>
          <w:sz w:val="32"/>
          <w:szCs w:val="32"/>
          <w:lang w:val="en-US" w:eastAsia="zh-CN" w:bidi="ar-SA"/>
        </w:rPr>
        <w:t xml:space="preserve"> </w:t>
      </w:r>
      <w:r>
        <w:rPr>
          <w:rFonts w:hint="eastAsia" w:ascii="仿宋_GB2312" w:hAnsi="仿宋_GB2312" w:cs="仿宋_GB2312"/>
          <w:sz w:val="32"/>
          <w:szCs w:val="32"/>
        </w:rPr>
        <w:t>其他有关资料。</w:t>
      </w:r>
      <w:bookmarkEnd w:id="24"/>
    </w:p>
    <w:p w14:paraId="5BB735A7">
      <w:pPr>
        <w:pStyle w:val="13"/>
        <w:keepNext w:val="0"/>
        <w:keepLines w:val="0"/>
        <w:pageBreakBefore w:val="0"/>
        <w:widowControl w:val="0"/>
        <w:tabs>
          <w:tab w:val="left" w:pos="6266"/>
        </w:tabs>
        <w:kinsoku/>
        <w:wordWrap/>
        <w:topLinePunct w:val="0"/>
        <w:autoSpaceDE/>
        <w:autoSpaceDN/>
        <w:bidi w:val="0"/>
        <w:adjustRightInd/>
        <w:snapToGrid/>
        <w:spacing w:line="540" w:lineRule="exact"/>
        <w:ind w:left="0" w:firstLine="640" w:firstLineChars="200"/>
        <w:textAlignment w:val="auto"/>
        <w:outlineLvl w:val="0"/>
        <w:rPr>
          <w:rFonts w:ascii="黑体" w:hAnsi="黑体" w:eastAsia="黑体" w:cs="黑体"/>
          <w:color w:val="000000"/>
          <w:sz w:val="32"/>
          <w:szCs w:val="32"/>
        </w:rPr>
      </w:pPr>
      <w:bookmarkStart w:id="25" w:name="_Toc913869554_WPSOffice_Level1"/>
      <w:bookmarkStart w:id="26" w:name="_Toc757239869_WPSOffice_Level1"/>
      <w:bookmarkStart w:id="27" w:name="_Toc1699738589_WPSOffice_Level1"/>
      <w:bookmarkStart w:id="28" w:name="_Toc1890271026_WPSOffice_Level1"/>
      <w:r>
        <w:rPr>
          <w:rFonts w:hint="eastAsia" w:ascii="黑体" w:hAnsi="黑体" w:eastAsia="黑体" w:cs="黑体"/>
          <w:color w:val="000000"/>
          <w:sz w:val="32"/>
          <w:szCs w:val="32"/>
        </w:rPr>
        <w:t>三、评审结论</w:t>
      </w:r>
      <w:bookmarkEnd w:id="25"/>
      <w:bookmarkEnd w:id="26"/>
      <w:bookmarkEnd w:id="27"/>
      <w:bookmarkEnd w:id="28"/>
    </w:p>
    <w:p w14:paraId="2C0534C6">
      <w:pPr>
        <w:keepNext w:val="0"/>
        <w:keepLines w:val="0"/>
        <w:pageBreakBefore w:val="0"/>
        <w:widowControl w:val="0"/>
        <w:kinsoku/>
        <w:wordWrap/>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该工程施工图预算送审金额为</w:t>
      </w:r>
      <w:r>
        <w:rPr>
          <w:rFonts w:hint="eastAsia" w:ascii="仿宋_GB2312" w:hAnsi="仿宋_GB2312" w:eastAsia="仿宋_GB2312" w:cs="仿宋_GB2312"/>
          <w:color w:val="000000"/>
          <w:sz w:val="32"/>
          <w:szCs w:val="32"/>
          <w:lang w:val="en-US" w:eastAsia="zh-CN"/>
        </w:rPr>
        <w:t>998797</w:t>
      </w:r>
      <w:r>
        <w:rPr>
          <w:rFonts w:hint="eastAsia" w:ascii="仿宋_GB2312" w:hAnsi="仿宋_GB2312" w:eastAsia="仿宋_GB2312" w:cs="仿宋_GB2312"/>
          <w:color w:val="000000"/>
          <w:sz w:val="32"/>
          <w:szCs w:val="32"/>
        </w:rPr>
        <w:t>元，审定金额为</w:t>
      </w:r>
      <w:r>
        <w:rPr>
          <w:rFonts w:hint="eastAsia" w:ascii="仿宋_GB2312" w:hAnsi="仿宋_GB2312" w:eastAsia="仿宋_GB2312" w:cs="仿宋_GB2312"/>
          <w:color w:val="000000"/>
          <w:sz w:val="32"/>
          <w:szCs w:val="32"/>
          <w:lang w:val="en-US" w:eastAsia="zh-CN"/>
        </w:rPr>
        <w:t>748920</w:t>
      </w:r>
      <w:r>
        <w:rPr>
          <w:rFonts w:hint="eastAsia" w:ascii="仿宋_GB2312" w:hAnsi="仿宋_GB2312" w:eastAsia="仿宋_GB2312" w:cs="仿宋_GB2312"/>
          <w:color w:val="000000"/>
          <w:sz w:val="32"/>
          <w:szCs w:val="32"/>
        </w:rPr>
        <w:t>元，审减金额为</w:t>
      </w:r>
      <w:r>
        <w:rPr>
          <w:rFonts w:hint="eastAsia" w:ascii="仿宋_GB2312" w:hAnsi="仿宋_GB2312" w:eastAsia="仿宋_GB2312" w:cs="仿宋_GB2312"/>
          <w:color w:val="000000"/>
          <w:sz w:val="32"/>
          <w:szCs w:val="32"/>
          <w:lang w:val="en-US" w:eastAsia="zh-CN"/>
        </w:rPr>
        <w:t>249877</w:t>
      </w:r>
      <w:r>
        <w:rPr>
          <w:rFonts w:hint="eastAsia" w:ascii="仿宋_GB2312" w:hAnsi="仿宋_GB2312" w:eastAsia="仿宋_GB2312" w:cs="仿宋_GB2312"/>
          <w:color w:val="000000"/>
          <w:sz w:val="32"/>
          <w:szCs w:val="32"/>
        </w:rPr>
        <w:t>元。其中：工程费审减</w:t>
      </w:r>
      <w:r>
        <w:rPr>
          <w:rFonts w:hint="eastAsia" w:ascii="仿宋_GB2312" w:hAnsi="仿宋_GB2312" w:eastAsia="仿宋_GB2312" w:cs="仿宋_GB2312"/>
          <w:color w:val="000000"/>
          <w:sz w:val="32"/>
          <w:szCs w:val="32"/>
          <w:lang w:val="en-US" w:eastAsia="zh-CN"/>
        </w:rPr>
        <w:t>205581</w:t>
      </w:r>
      <w:r>
        <w:rPr>
          <w:rFonts w:hint="eastAsia" w:ascii="仿宋_GB2312" w:hAnsi="仿宋_GB2312" w:eastAsia="仿宋_GB2312" w:cs="仿宋_GB2312"/>
          <w:color w:val="000000"/>
          <w:sz w:val="32"/>
          <w:szCs w:val="32"/>
        </w:rPr>
        <w:t>元，前期费审减</w:t>
      </w:r>
      <w:r>
        <w:rPr>
          <w:rFonts w:hint="eastAsia" w:ascii="仿宋_GB2312" w:hAnsi="仿宋_GB2312" w:eastAsia="仿宋_GB2312" w:cs="仿宋_GB2312"/>
          <w:color w:val="000000"/>
          <w:sz w:val="32"/>
          <w:szCs w:val="32"/>
          <w:lang w:val="en-US" w:eastAsia="zh-CN"/>
        </w:rPr>
        <w:t>31650</w:t>
      </w:r>
      <w:r>
        <w:rPr>
          <w:rFonts w:hint="eastAsia" w:ascii="仿宋_GB2312" w:hAnsi="仿宋_GB2312" w:eastAsia="仿宋_GB2312" w:cs="仿宋_GB2312"/>
          <w:color w:val="000000"/>
          <w:sz w:val="32"/>
          <w:szCs w:val="32"/>
        </w:rPr>
        <w:t>元，不可预见费审减</w:t>
      </w:r>
      <w:r>
        <w:rPr>
          <w:rFonts w:hint="eastAsia" w:ascii="仿宋_GB2312" w:hAnsi="仿宋_GB2312" w:eastAsia="仿宋_GB2312" w:cs="仿宋_GB2312"/>
          <w:color w:val="000000"/>
          <w:sz w:val="32"/>
          <w:szCs w:val="32"/>
          <w:lang w:val="en-US" w:eastAsia="zh-CN"/>
        </w:rPr>
        <w:t>12646</w:t>
      </w:r>
      <w:r>
        <w:rPr>
          <w:rFonts w:hint="eastAsia" w:ascii="仿宋_GB2312" w:hAnsi="仿宋_GB2312" w:eastAsia="仿宋_GB2312" w:cs="仿宋_GB2312"/>
          <w:color w:val="000000"/>
          <w:sz w:val="32"/>
          <w:szCs w:val="32"/>
        </w:rPr>
        <w:t>元。审减主要原因如下：</w:t>
      </w:r>
    </w:p>
    <w:p w14:paraId="09C1613A">
      <w:pPr>
        <w:pStyle w:val="35"/>
        <w:keepNext w:val="0"/>
        <w:keepLines w:val="0"/>
        <w:pageBreakBefore w:val="0"/>
        <w:widowControl w:val="0"/>
        <w:numPr>
          <w:ilvl w:val="0"/>
          <w:numId w:val="1"/>
        </w:numPr>
        <w:kinsoku/>
        <w:wordWrap/>
        <w:topLinePunct w:val="0"/>
        <w:autoSpaceDE/>
        <w:autoSpaceDN/>
        <w:bidi w:val="0"/>
        <w:adjustRightInd/>
        <w:snapToGrid/>
        <w:spacing w:line="540" w:lineRule="exact"/>
        <w:ind w:left="0" w:leftChars="0" w:firstLine="640" w:firstLineChars="20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乳胶漆、防水</w:t>
      </w:r>
      <w:r>
        <w:rPr>
          <w:rFonts w:hint="eastAsia" w:ascii="仿宋_GB2312" w:hAnsi="仿宋_GB2312" w:cs="仿宋_GB2312"/>
          <w:color w:val="auto"/>
          <w:sz w:val="32"/>
          <w:szCs w:val="32"/>
          <w:lang w:eastAsia="zh-CN"/>
        </w:rPr>
        <w:t>工程量多计，审减</w:t>
      </w:r>
      <w:r>
        <w:rPr>
          <w:rFonts w:hint="eastAsia" w:ascii="仿宋_GB2312" w:hAnsi="仿宋_GB2312" w:cs="仿宋_GB2312"/>
          <w:color w:val="auto"/>
          <w:sz w:val="32"/>
          <w:szCs w:val="32"/>
          <w:lang w:val="en-US" w:eastAsia="zh-CN"/>
        </w:rPr>
        <w:t>3.4万元；</w:t>
      </w:r>
    </w:p>
    <w:p w14:paraId="369632C7">
      <w:pPr>
        <w:pStyle w:val="35"/>
        <w:keepNext w:val="0"/>
        <w:keepLines w:val="0"/>
        <w:pageBreakBefore w:val="0"/>
        <w:widowControl w:val="0"/>
        <w:numPr>
          <w:ilvl w:val="0"/>
          <w:numId w:val="1"/>
        </w:numPr>
        <w:kinsoku/>
        <w:wordWrap/>
        <w:topLinePunct w:val="0"/>
        <w:autoSpaceDE/>
        <w:autoSpaceDN/>
        <w:bidi w:val="0"/>
        <w:adjustRightInd/>
        <w:snapToGrid/>
        <w:spacing w:line="540" w:lineRule="exact"/>
        <w:ind w:left="0" w:leftChars="0" w:firstLine="640" w:firstLineChars="20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墙面砖定额高套，审减0.7万元；</w:t>
      </w:r>
    </w:p>
    <w:p w14:paraId="77A6A4A3">
      <w:pPr>
        <w:pStyle w:val="35"/>
        <w:keepNext w:val="0"/>
        <w:keepLines w:val="0"/>
        <w:pageBreakBefore w:val="0"/>
        <w:widowControl w:val="0"/>
        <w:numPr>
          <w:ilvl w:val="0"/>
          <w:numId w:val="1"/>
        </w:numPr>
        <w:kinsoku/>
        <w:wordWrap/>
        <w:topLinePunct w:val="0"/>
        <w:autoSpaceDE/>
        <w:autoSpaceDN/>
        <w:bidi w:val="0"/>
        <w:adjustRightInd/>
        <w:snapToGrid/>
        <w:spacing w:line="540" w:lineRule="exact"/>
        <w:ind w:left="0" w:leftChars="0" w:firstLine="640" w:firstLineChars="20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安装洁具单价高计，审减11.3万元；</w:t>
      </w:r>
    </w:p>
    <w:p w14:paraId="600C0407">
      <w:pPr>
        <w:pStyle w:val="35"/>
        <w:keepNext w:val="0"/>
        <w:keepLines w:val="0"/>
        <w:pageBreakBefore w:val="0"/>
        <w:widowControl w:val="0"/>
        <w:numPr>
          <w:ilvl w:val="0"/>
          <w:numId w:val="1"/>
        </w:numPr>
        <w:kinsoku/>
        <w:wordWrap/>
        <w:topLinePunct w:val="0"/>
        <w:autoSpaceDE/>
        <w:autoSpaceDN/>
        <w:bidi w:val="0"/>
        <w:adjustRightInd/>
        <w:snapToGrid/>
        <w:spacing w:line="540" w:lineRule="exact"/>
        <w:ind w:left="0" w:leftChars="0" w:firstLine="640" w:firstLineChars="20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排水改造单价高计，审减5.1万元；</w:t>
      </w:r>
    </w:p>
    <w:p w14:paraId="13F0CD3D">
      <w:pPr>
        <w:pStyle w:val="35"/>
        <w:keepNext w:val="0"/>
        <w:keepLines w:val="0"/>
        <w:pageBreakBefore w:val="0"/>
        <w:widowControl w:val="0"/>
        <w:numPr>
          <w:ilvl w:val="0"/>
          <w:numId w:val="1"/>
        </w:numPr>
        <w:kinsoku/>
        <w:wordWrap/>
        <w:topLinePunct w:val="0"/>
        <w:autoSpaceDE/>
        <w:autoSpaceDN/>
        <w:bidi w:val="0"/>
        <w:adjustRightInd/>
        <w:snapToGrid/>
        <w:spacing w:line="540" w:lineRule="exact"/>
        <w:ind w:left="0" w:leftChars="0" w:firstLine="640" w:firstLineChars="200"/>
        <w:textAlignment w:val="auto"/>
        <w:rPr>
          <w:rFonts w:hint="eastAsia" w:ascii="仿宋_GB2312" w:hAnsi="仿宋_GB2312" w:cs="仿宋_GB2312"/>
          <w:color w:val="auto"/>
          <w:sz w:val="32"/>
          <w:szCs w:val="32"/>
          <w:lang w:eastAsia="zh-CN"/>
        </w:rPr>
      </w:pPr>
      <w:bookmarkStart w:id="29" w:name="_Toc545252939_WPSOffice_Level1"/>
      <w:bookmarkStart w:id="30" w:name="_Toc1156470918_WPSOffice_Level1"/>
      <w:bookmarkStart w:id="31" w:name="_Toc308870453_WPSOffice_Level1"/>
      <w:bookmarkStart w:id="32" w:name="_Toc1954155083_WPSOffice_Level1"/>
      <w:r>
        <w:rPr>
          <w:rFonts w:hint="eastAsia" w:ascii="仿宋_GB2312" w:hAnsi="仿宋_GB2312" w:cs="仿宋_GB2312"/>
          <w:color w:val="auto"/>
          <w:sz w:val="32"/>
          <w:szCs w:val="32"/>
          <w:lang w:val="en-US" w:eastAsia="zh-CN"/>
        </w:rPr>
        <w:t>不可预见费因取费基数调整，审减1.3万元；</w:t>
      </w:r>
    </w:p>
    <w:p w14:paraId="77D805B9">
      <w:pPr>
        <w:pStyle w:val="35"/>
        <w:keepNext w:val="0"/>
        <w:keepLines w:val="0"/>
        <w:pageBreakBefore w:val="0"/>
        <w:widowControl w:val="0"/>
        <w:numPr>
          <w:ilvl w:val="0"/>
          <w:numId w:val="1"/>
        </w:numPr>
        <w:kinsoku/>
        <w:wordWrap/>
        <w:topLinePunct w:val="0"/>
        <w:autoSpaceDE/>
        <w:autoSpaceDN/>
        <w:bidi w:val="0"/>
        <w:adjustRightInd/>
        <w:snapToGrid/>
        <w:spacing w:line="540" w:lineRule="exact"/>
        <w:ind w:left="0" w:leftChars="0"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lang w:val="en-US" w:eastAsia="zh-CN"/>
        </w:rPr>
        <w:t>设计费应建设单位要求不计算，审减2.4万元；</w:t>
      </w:r>
    </w:p>
    <w:p w14:paraId="55BCC864">
      <w:pPr>
        <w:pStyle w:val="35"/>
        <w:keepNext w:val="0"/>
        <w:keepLines w:val="0"/>
        <w:pageBreakBefore w:val="0"/>
        <w:widowControl w:val="0"/>
        <w:numPr>
          <w:ilvl w:val="0"/>
          <w:numId w:val="1"/>
        </w:numPr>
        <w:kinsoku/>
        <w:wordWrap/>
        <w:topLinePunct w:val="0"/>
        <w:autoSpaceDE/>
        <w:autoSpaceDN/>
        <w:bidi w:val="0"/>
        <w:adjustRightInd/>
        <w:snapToGrid/>
        <w:spacing w:line="540" w:lineRule="exact"/>
        <w:ind w:left="0" w:leftChars="0"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lang w:val="en-US" w:eastAsia="zh-CN"/>
        </w:rPr>
        <w:t>监理费、造价咨询费因取费基数调整，审减0.7万元。</w:t>
      </w:r>
    </w:p>
    <w:p w14:paraId="0DF64B90">
      <w:pPr>
        <w:keepNext w:val="0"/>
        <w:keepLines w:val="0"/>
        <w:pageBreakBefore w:val="0"/>
        <w:widowControl w:val="0"/>
        <w:kinsoku/>
        <w:wordWrap/>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color w:val="000000"/>
          <w:sz w:val="32"/>
          <w:szCs w:val="32"/>
        </w:rPr>
      </w:pPr>
      <w:r>
        <w:rPr>
          <w:rFonts w:hint="eastAsia" w:ascii="黑体" w:hAnsi="黑体" w:eastAsia="黑体" w:cs="黑体"/>
          <w:sz w:val="32"/>
          <w:szCs w:val="32"/>
        </w:rPr>
        <w:t>四、存在的问题及建议</w:t>
      </w:r>
      <w:bookmarkEnd w:id="29"/>
      <w:bookmarkEnd w:id="30"/>
      <w:bookmarkEnd w:id="31"/>
      <w:bookmarkEnd w:id="32"/>
    </w:p>
    <w:p w14:paraId="3CC620C4">
      <w:pPr>
        <w:keepNext w:val="0"/>
        <w:keepLines w:val="0"/>
        <w:pageBreakBefore w:val="0"/>
        <w:widowControl w:val="0"/>
        <w:kinsoku/>
        <w:wordWrap/>
        <w:overflowPunct w:val="0"/>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sz w:val="32"/>
          <w:szCs w:val="32"/>
          <w:lang w:val="en-US" w:eastAsia="zh-CN"/>
        </w:rPr>
        <w:t>1. 因三楼设计内容简单，四-七楼有过类似维修改造，</w:t>
      </w:r>
      <w:r>
        <w:rPr>
          <w:rFonts w:hint="eastAsia" w:ascii="Times New Roman" w:hAnsi="Times New Roman" w:eastAsia="仿宋_GB2312"/>
          <w:sz w:val="32"/>
          <w:szCs w:val="32"/>
          <w:lang w:val="en-US" w:eastAsia="zh-CN"/>
        </w:rPr>
        <w:t>经与建设单位确认，做法不明处，参考</w:t>
      </w:r>
      <w:r>
        <w:rPr>
          <w:rFonts w:hint="eastAsia" w:ascii="仿宋_GB2312" w:hAnsi="仿宋_GB2312" w:eastAsia="仿宋_GB2312" w:cs="仿宋_GB2312"/>
          <w:color w:val="000000"/>
          <w:sz w:val="32"/>
          <w:szCs w:val="32"/>
          <w:lang w:val="en-US" w:eastAsia="zh-CN"/>
        </w:rPr>
        <w:t>四-七楼设计</w:t>
      </w:r>
      <w:r>
        <w:rPr>
          <w:rFonts w:hint="eastAsia" w:ascii="仿宋_GB2312" w:hAnsi="仿宋_GB2312" w:eastAsia="仿宋_GB2312" w:cs="仿宋_GB2312"/>
          <w:color w:val="000000"/>
          <w:kern w:val="2"/>
          <w:sz w:val="32"/>
          <w:szCs w:val="32"/>
          <w:lang w:val="en-US" w:eastAsia="zh-CN" w:bidi="ar-SA"/>
        </w:rPr>
        <w:t>。</w:t>
      </w:r>
    </w:p>
    <w:p w14:paraId="2838BDFC">
      <w:pPr>
        <w:keepNext w:val="0"/>
        <w:keepLines w:val="0"/>
        <w:pageBreakBefore w:val="0"/>
        <w:widowControl w:val="0"/>
        <w:kinsoku/>
        <w:wordWrap/>
        <w:overflowPunct w:val="0"/>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2. 施工图纸做为预算编制、评审、采购、施工、履约验收的重要基础依据，应专业、严谨、规范，请项目单位重视。</w:t>
      </w:r>
    </w:p>
    <w:p w14:paraId="5FBB58FF">
      <w:pPr>
        <w:pStyle w:val="13"/>
        <w:keepNext w:val="0"/>
        <w:keepLines w:val="0"/>
        <w:pageBreakBefore w:val="0"/>
        <w:widowControl w:val="0"/>
        <w:tabs>
          <w:tab w:val="left" w:pos="6266"/>
        </w:tabs>
        <w:kinsoku/>
        <w:wordWrap/>
        <w:topLinePunct w:val="0"/>
        <w:autoSpaceDE/>
        <w:autoSpaceDN/>
        <w:bidi w:val="0"/>
        <w:adjustRightInd/>
        <w:snapToGrid/>
        <w:spacing w:line="540" w:lineRule="exact"/>
        <w:ind w:left="0" w:firstLine="640" w:firstLineChars="200"/>
        <w:textAlignment w:val="auto"/>
        <w:outlineLvl w:val="0"/>
        <w:rPr>
          <w:rFonts w:ascii="黑体" w:hAnsi="黑体" w:eastAsia="黑体" w:cs="黑体"/>
          <w:color w:val="000000"/>
          <w:sz w:val="32"/>
          <w:szCs w:val="32"/>
        </w:rPr>
      </w:pPr>
      <w:bookmarkStart w:id="33" w:name="_Toc391484743_WPSOffice_Level1"/>
      <w:bookmarkStart w:id="34" w:name="_Toc340961487_WPSOffice_Level1"/>
      <w:bookmarkStart w:id="35" w:name="_Toc1244274959_WPSOffice_Level1"/>
      <w:bookmarkStart w:id="36" w:name="_Toc669635750_WPSOffice_Level1"/>
      <w:r>
        <w:rPr>
          <w:rFonts w:hint="eastAsia" w:ascii="黑体" w:hAnsi="黑体" w:eastAsia="黑体" w:cs="黑体"/>
          <w:color w:val="000000"/>
          <w:sz w:val="32"/>
          <w:szCs w:val="32"/>
        </w:rPr>
        <w:t>五、有关事项说明</w:t>
      </w:r>
      <w:bookmarkEnd w:id="33"/>
      <w:bookmarkEnd w:id="34"/>
      <w:bookmarkEnd w:id="35"/>
      <w:bookmarkEnd w:id="36"/>
    </w:p>
    <w:p w14:paraId="592B9336">
      <w:pPr>
        <w:keepNext w:val="0"/>
        <w:keepLines w:val="0"/>
        <w:pageBreakBefore w:val="0"/>
        <w:widowControl w:val="0"/>
        <w:kinsoku/>
        <w:wordWrap/>
        <w:overflowPunct w:val="0"/>
        <w:topLinePunct w:val="0"/>
        <w:autoSpaceDE/>
        <w:autoSpaceDN/>
        <w:bidi w:val="0"/>
        <w:adjustRightInd/>
        <w:snapToGrid/>
        <w:spacing w:line="540" w:lineRule="exact"/>
        <w:ind w:left="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 xml:space="preserve"> </w:t>
      </w:r>
      <w:r>
        <w:rPr>
          <w:rFonts w:hint="eastAsia" w:ascii="仿宋_GB2312" w:hAnsi="仿宋_GB2312" w:eastAsia="仿宋_GB2312" w:cs="仿宋_GB2312"/>
          <w:color w:val="000000"/>
          <w:sz w:val="32"/>
          <w:szCs w:val="32"/>
        </w:rPr>
        <w:t>本</w:t>
      </w:r>
      <w:r>
        <w:rPr>
          <w:rFonts w:hint="eastAsia" w:ascii="Times New Roman" w:hAnsi="Times New Roman" w:eastAsia="仿宋_GB2312"/>
          <w:sz w:val="32"/>
          <w:szCs w:val="32"/>
        </w:rPr>
        <w:t>评审结果是该项目财政预算控制上限，作为预算执行的重要依据，</w:t>
      </w:r>
      <w:r>
        <w:rPr>
          <w:rFonts w:hint="eastAsia" w:ascii="仿宋_GB2312" w:hAnsi="仿宋_GB2312" w:eastAsia="仿宋_GB2312" w:cs="仿宋_GB2312"/>
          <w:sz w:val="32"/>
          <w:szCs w:val="32"/>
        </w:rPr>
        <w:t>不作为招投标、政府采购、结算和决算的依据</w:t>
      </w:r>
      <w:r>
        <w:rPr>
          <w:rFonts w:hint="eastAsia" w:ascii="仿宋_GB2312" w:hAnsi="仿宋_GB2312" w:eastAsia="仿宋_GB2312" w:cs="仿宋_GB2312"/>
          <w:color w:val="000000"/>
          <w:sz w:val="32"/>
          <w:szCs w:val="32"/>
        </w:rPr>
        <w:t>。请</w:t>
      </w:r>
      <w:r>
        <w:rPr>
          <w:rFonts w:hint="eastAsia" w:ascii="Times New Roman" w:hAnsi="Times New Roman" w:eastAsia="仿宋_GB2312"/>
          <w:sz w:val="32"/>
          <w:szCs w:val="32"/>
        </w:rPr>
        <w:t>根据预算执行评审结果调整预算安排并指导相关部门严控预算执行，督促</w:t>
      </w:r>
      <w:r>
        <w:rPr>
          <w:rFonts w:hint="eastAsia" w:ascii="仿宋_GB2312" w:hAnsi="仿宋_GB2312" w:eastAsia="仿宋_GB2312" w:cs="仿宋_GB2312"/>
          <w:color w:val="000000"/>
          <w:sz w:val="32"/>
          <w:szCs w:val="32"/>
        </w:rPr>
        <w:t>项目单位严格遵守各项法律法规、财经纪律和财务管理制度。资金管理科室对预算评审类型和报告使用负责。</w:t>
      </w:r>
    </w:p>
    <w:p w14:paraId="7611029A">
      <w:pPr>
        <w:keepNext w:val="0"/>
        <w:keepLines w:val="0"/>
        <w:pageBreakBefore w:val="0"/>
        <w:widowControl w:val="0"/>
        <w:kinsoku/>
        <w:wordWrap/>
        <w:overflowPunct w:val="0"/>
        <w:topLinePunct w:val="0"/>
        <w:autoSpaceDE/>
        <w:autoSpaceDN/>
        <w:bidi w:val="0"/>
        <w:adjustRightInd/>
        <w:snapToGrid/>
        <w:spacing w:line="540" w:lineRule="exact"/>
        <w:ind w:left="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2. 项目预算控制上限依据项目单位提供的设计图纸、施工方案，参照相关法律法规、行业规范标准及市场询价结果出具。若因送审资料完整性不足、准确性欠缺等情形导致的偏差，相关责任由项目单位自行承担。</w:t>
      </w:r>
    </w:p>
    <w:p w14:paraId="1C7F40B5">
      <w:pPr>
        <w:keepNext w:val="0"/>
        <w:keepLines w:val="0"/>
        <w:pageBreakBefore w:val="0"/>
        <w:widowControl w:val="0"/>
        <w:kinsoku/>
        <w:overflowPunct w:val="0"/>
        <w:topLinePunct w:val="0"/>
        <w:autoSpaceDE/>
        <w:autoSpaceDN/>
        <w:bidi w:val="0"/>
        <w:adjustRightInd/>
        <w:snapToGrid/>
        <w:spacing w:line="240" w:lineRule="auto"/>
        <w:jc w:val="both"/>
        <w:textAlignment w:val="auto"/>
        <w:rPr>
          <w:rFonts w:hint="eastAsia" w:ascii="仿宋_GB2312" w:hAnsi="仿宋_GB2312" w:eastAsia="仿宋_GB2312" w:cs="仿宋_GB2312"/>
          <w:color w:val="000000"/>
          <w:sz w:val="32"/>
          <w:szCs w:val="32"/>
        </w:rPr>
      </w:pPr>
    </w:p>
    <w:p w14:paraId="71636E5B">
      <w:pPr>
        <w:keepNext w:val="0"/>
        <w:keepLines w:val="0"/>
        <w:pageBreakBefore w:val="0"/>
        <w:widowControl w:val="0"/>
        <w:kinsoku/>
        <w:overflowPunct w:val="0"/>
        <w:topLinePunct w:val="0"/>
        <w:autoSpaceDE/>
        <w:autoSpaceDN/>
        <w:bidi w:val="0"/>
        <w:adjustRightInd/>
        <w:snapToGrid/>
        <w:spacing w:line="240" w:lineRule="auto"/>
        <w:ind w:firstLine="640" w:firstLineChars="200"/>
        <w:jc w:val="right"/>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常德市财政局投资评审中心</w:t>
      </w:r>
    </w:p>
    <w:p w14:paraId="30565E2E">
      <w:pPr>
        <w:pStyle w:val="15"/>
        <w:keepNext w:val="0"/>
        <w:keepLines w:val="0"/>
        <w:pageBreakBefore w:val="0"/>
        <w:widowControl w:val="0"/>
        <w:kinsoku/>
        <w:wordWrap w:val="0"/>
        <w:topLinePunct w:val="0"/>
        <w:autoSpaceDE/>
        <w:autoSpaceDN/>
        <w:bidi w:val="0"/>
        <w:adjustRightInd/>
        <w:snapToGrid/>
        <w:spacing w:line="240" w:lineRule="auto"/>
        <w:ind w:left="5460" w:right="332" w:hanging="73"/>
        <w:jc w:val="center"/>
        <w:textAlignment w:val="auto"/>
        <w:rPr>
          <w:rFonts w:ascii="Times New Roman" w:hAnsi="Times New Roman"/>
        </w:rPr>
      </w:pPr>
      <w:r>
        <w:rPr>
          <w:rFonts w:hint="eastAsia" w:ascii="仿宋_GB2312" w:hAnsi="仿宋_GB2312" w:eastAsia="仿宋_GB2312" w:cs="仿宋_GB2312"/>
          <w:color w:val="000000"/>
          <w:sz w:val="32"/>
          <w:szCs w:val="32"/>
          <w:lang w:val="en-US" w:eastAsia="zh-CN"/>
        </w:rPr>
        <w:t>2026</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日</w:t>
      </w:r>
    </w:p>
    <w:p w14:paraId="1DF5C775">
      <w:pPr>
        <w:widowControl/>
        <w:jc w:val="left"/>
        <w:rPr>
          <w:rFonts w:hint="eastAsia" w:ascii="仿宋_GB2312" w:eastAsia="仿宋_GB2312"/>
          <w:sz w:val="32"/>
          <w:szCs w:val="32"/>
          <w:lang w:eastAsia="zh-CN"/>
        </w:rPr>
      </w:pPr>
    </w:p>
    <w:p w14:paraId="2E613B26">
      <w:pPr>
        <w:widowControl/>
        <w:jc w:val="left"/>
        <w:rPr>
          <w:rFonts w:hint="eastAsia" w:ascii="仿宋_GB2312" w:eastAsia="仿宋_GB2312"/>
          <w:sz w:val="32"/>
          <w:szCs w:val="32"/>
          <w:lang w:eastAsia="zh-CN"/>
        </w:rPr>
      </w:pPr>
      <w:r>
        <w:rPr>
          <w:rFonts w:hint="eastAsia" w:ascii="仿宋_GB2312" w:eastAsia="仿宋_GB2312"/>
          <w:sz w:val="32"/>
          <w:szCs w:val="32"/>
          <w:lang w:eastAsia="zh-CN"/>
        </w:rPr>
        <w:t>附表：</w:t>
      </w:r>
    </w:p>
    <w:tbl>
      <w:tblPr>
        <w:tblStyle w:val="20"/>
        <w:tblW w:w="88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5"/>
        <w:gridCol w:w="2055"/>
        <w:gridCol w:w="1440"/>
        <w:gridCol w:w="1575"/>
        <w:gridCol w:w="1440"/>
        <w:gridCol w:w="1650"/>
      </w:tblGrid>
      <w:tr w14:paraId="31DEC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jc w:val="center"/>
        </w:trPr>
        <w:tc>
          <w:tcPr>
            <w:tcW w:w="8835" w:type="dxa"/>
            <w:gridSpan w:val="6"/>
            <w:tcBorders>
              <w:top w:val="nil"/>
              <w:left w:val="nil"/>
              <w:bottom w:val="nil"/>
              <w:right w:val="nil"/>
            </w:tcBorders>
            <w:shd w:val="clear" w:color="auto" w:fill="FFFFFF"/>
            <w:vAlign w:val="center"/>
          </w:tcPr>
          <w:p w14:paraId="7FCCDF84">
            <w:pPr>
              <w:keepNext w:val="0"/>
              <w:keepLines w:val="0"/>
              <w:widowControl/>
              <w:suppressLineNumbers w:val="0"/>
              <w:jc w:val="center"/>
              <w:textAlignment w:val="center"/>
              <w:rPr>
                <w:rFonts w:ascii="仿宋_GB2312" w:hAnsi="宋体" w:eastAsia="仿宋_GB2312" w:cs="仿宋_GB2312"/>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湖南幼儿高等专科学校培训楼三楼学员宿舍维修改造工程预算执行评审汇总表</w:t>
            </w:r>
          </w:p>
        </w:tc>
      </w:tr>
      <w:tr w14:paraId="1D5F5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4170" w:type="dxa"/>
            <w:gridSpan w:val="3"/>
            <w:tcBorders>
              <w:top w:val="nil"/>
              <w:left w:val="nil"/>
              <w:bottom w:val="single" w:color="000000" w:sz="4" w:space="0"/>
              <w:right w:val="nil"/>
            </w:tcBorders>
            <w:shd w:val="clear" w:color="auto" w:fill="FFFFFF"/>
            <w:vAlign w:val="center"/>
          </w:tcPr>
          <w:p w14:paraId="7BD0EF5B">
            <w:pPr>
              <w:jc w:val="center"/>
              <w:rPr>
                <w:rFonts w:hint="eastAsia" w:ascii="仿宋_GB2312" w:hAnsi="宋体" w:eastAsia="仿宋_GB2312" w:cs="仿宋_GB2312"/>
                <w:i w:val="0"/>
                <w:iCs w:val="0"/>
                <w:color w:val="000000"/>
                <w:sz w:val="24"/>
                <w:szCs w:val="24"/>
                <w:u w:val="none"/>
              </w:rPr>
            </w:pPr>
          </w:p>
        </w:tc>
        <w:tc>
          <w:tcPr>
            <w:tcW w:w="1575" w:type="dxa"/>
            <w:tcBorders>
              <w:top w:val="nil"/>
              <w:left w:val="nil"/>
              <w:bottom w:val="single" w:color="000000" w:sz="4" w:space="0"/>
              <w:right w:val="nil"/>
            </w:tcBorders>
            <w:shd w:val="clear" w:color="auto" w:fill="FFFFFF"/>
            <w:vAlign w:val="center"/>
          </w:tcPr>
          <w:p w14:paraId="05558870">
            <w:pPr>
              <w:jc w:val="center"/>
              <w:rPr>
                <w:rFonts w:hint="eastAsia" w:ascii="仿宋_GB2312" w:hAnsi="宋体" w:eastAsia="仿宋_GB2312" w:cs="仿宋_GB2312"/>
                <w:i w:val="0"/>
                <w:iCs w:val="0"/>
                <w:color w:val="000000"/>
                <w:sz w:val="24"/>
                <w:szCs w:val="24"/>
                <w:u w:val="none"/>
              </w:rPr>
            </w:pPr>
          </w:p>
        </w:tc>
        <w:tc>
          <w:tcPr>
            <w:tcW w:w="1440" w:type="dxa"/>
            <w:tcBorders>
              <w:top w:val="nil"/>
              <w:left w:val="nil"/>
              <w:bottom w:val="single" w:color="000000" w:sz="4" w:space="0"/>
              <w:right w:val="nil"/>
            </w:tcBorders>
            <w:shd w:val="clear" w:color="auto" w:fill="FFFFFF"/>
            <w:vAlign w:val="center"/>
          </w:tcPr>
          <w:p w14:paraId="2B90437D">
            <w:pPr>
              <w:jc w:val="center"/>
              <w:rPr>
                <w:rFonts w:hint="eastAsia" w:ascii="仿宋_GB2312" w:hAnsi="宋体" w:eastAsia="仿宋_GB2312" w:cs="仿宋_GB2312"/>
                <w:i w:val="0"/>
                <w:iCs w:val="0"/>
                <w:color w:val="000000"/>
                <w:sz w:val="24"/>
                <w:szCs w:val="24"/>
                <w:u w:val="none"/>
              </w:rPr>
            </w:pPr>
          </w:p>
        </w:tc>
        <w:tc>
          <w:tcPr>
            <w:tcW w:w="1650" w:type="dxa"/>
            <w:tcBorders>
              <w:top w:val="nil"/>
              <w:left w:val="nil"/>
              <w:bottom w:val="single" w:color="000000" w:sz="4" w:space="0"/>
              <w:right w:val="nil"/>
            </w:tcBorders>
            <w:shd w:val="clear" w:color="auto" w:fill="FFFFFF"/>
            <w:vAlign w:val="center"/>
          </w:tcPr>
          <w:p w14:paraId="6B42FCF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金额单位：元</w:t>
            </w:r>
          </w:p>
        </w:tc>
      </w:tr>
      <w:tr w14:paraId="681D5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5" w:type="dxa"/>
            <w:tcBorders>
              <w:top w:val="nil"/>
              <w:left w:val="single" w:color="000000" w:sz="4" w:space="0"/>
              <w:bottom w:val="single" w:color="000000" w:sz="4" w:space="0"/>
              <w:right w:val="single" w:color="000000" w:sz="4" w:space="0"/>
            </w:tcBorders>
            <w:shd w:val="clear" w:color="auto" w:fill="FFFFFF"/>
            <w:vAlign w:val="center"/>
          </w:tcPr>
          <w:p w14:paraId="1984CFF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2055" w:type="dxa"/>
            <w:tcBorders>
              <w:top w:val="nil"/>
              <w:left w:val="single" w:color="000000" w:sz="4" w:space="0"/>
              <w:bottom w:val="single" w:color="000000" w:sz="4" w:space="0"/>
              <w:right w:val="single" w:color="000000" w:sz="4" w:space="0"/>
            </w:tcBorders>
            <w:shd w:val="clear" w:color="auto" w:fill="FFFFFF"/>
            <w:vAlign w:val="center"/>
          </w:tcPr>
          <w:p w14:paraId="0632CF83">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评审内容</w:t>
            </w:r>
          </w:p>
        </w:tc>
        <w:tc>
          <w:tcPr>
            <w:tcW w:w="1440" w:type="dxa"/>
            <w:tcBorders>
              <w:top w:val="nil"/>
              <w:left w:val="single" w:color="000000" w:sz="4" w:space="0"/>
              <w:bottom w:val="single" w:color="000000" w:sz="4" w:space="0"/>
              <w:right w:val="single" w:color="000000" w:sz="4" w:space="0"/>
            </w:tcBorders>
            <w:shd w:val="clear" w:color="auto" w:fill="FFFFFF"/>
            <w:vAlign w:val="center"/>
          </w:tcPr>
          <w:p w14:paraId="572AD66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送审金额</w:t>
            </w:r>
          </w:p>
        </w:tc>
        <w:tc>
          <w:tcPr>
            <w:tcW w:w="1575" w:type="dxa"/>
            <w:tcBorders>
              <w:top w:val="nil"/>
              <w:left w:val="single" w:color="000000" w:sz="4" w:space="0"/>
              <w:bottom w:val="single" w:color="000000" w:sz="4" w:space="0"/>
              <w:right w:val="single" w:color="000000" w:sz="4" w:space="0"/>
            </w:tcBorders>
            <w:shd w:val="clear" w:color="auto" w:fill="FFFFFF"/>
            <w:vAlign w:val="center"/>
          </w:tcPr>
          <w:p w14:paraId="7CFF84E9">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审定金额</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E003B">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审减金额</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0C2E69">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备  注</w:t>
            </w:r>
          </w:p>
        </w:tc>
      </w:tr>
      <w:tr w14:paraId="0BF65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4AF81">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一</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12711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工程费</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051F3">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903898 </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DEF3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698317 </w:t>
            </w:r>
          </w:p>
        </w:tc>
        <w:tc>
          <w:tcPr>
            <w:tcW w:w="0" w:type="auto"/>
            <w:tcBorders>
              <w:top w:val="single" w:color="000000" w:sz="4" w:space="0"/>
              <w:left w:val="single" w:color="000000" w:sz="4" w:space="0"/>
              <w:bottom w:val="nil"/>
              <w:right w:val="single" w:color="000000" w:sz="4" w:space="0"/>
            </w:tcBorders>
            <w:shd w:val="clear" w:color="auto" w:fill="FFFFFF"/>
            <w:noWrap/>
            <w:vAlign w:val="center"/>
          </w:tcPr>
          <w:p w14:paraId="78FEA0B2">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205581 </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1DA27C">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22.74%</w:t>
            </w:r>
          </w:p>
        </w:tc>
      </w:tr>
      <w:tr w14:paraId="50C03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9889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72A4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卫生间改造工程</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6E18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617105</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585D3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449294 </w:t>
            </w:r>
          </w:p>
        </w:tc>
        <w:tc>
          <w:tcPr>
            <w:tcW w:w="0" w:type="auto"/>
            <w:tcBorders>
              <w:top w:val="single" w:color="000000" w:sz="4" w:space="0"/>
              <w:left w:val="single" w:color="000000" w:sz="4" w:space="0"/>
              <w:bottom w:val="nil"/>
              <w:right w:val="single" w:color="000000" w:sz="4" w:space="0"/>
            </w:tcBorders>
            <w:shd w:val="clear" w:color="auto" w:fill="FFFFFF"/>
            <w:noWrap/>
            <w:vAlign w:val="center"/>
          </w:tcPr>
          <w:p w14:paraId="4D64C0F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167811 </w:t>
            </w:r>
          </w:p>
        </w:tc>
        <w:tc>
          <w:tcPr>
            <w:tcW w:w="1650" w:type="dxa"/>
            <w:tcBorders>
              <w:top w:val="single" w:color="000000" w:sz="4" w:space="0"/>
              <w:left w:val="nil"/>
              <w:bottom w:val="single" w:color="000000" w:sz="4" w:space="0"/>
              <w:right w:val="single" w:color="000000" w:sz="4" w:space="0"/>
            </w:tcBorders>
            <w:shd w:val="clear" w:color="auto" w:fill="FFFFFF"/>
            <w:vAlign w:val="center"/>
          </w:tcPr>
          <w:p w14:paraId="54117D2F">
            <w:pPr>
              <w:jc w:val="center"/>
              <w:rPr>
                <w:rFonts w:hint="eastAsia" w:ascii="仿宋_GB2312" w:hAnsi="宋体" w:eastAsia="仿宋_GB2312" w:cs="仿宋_GB2312"/>
                <w:i w:val="0"/>
                <w:iCs w:val="0"/>
                <w:color w:val="000000"/>
                <w:sz w:val="24"/>
                <w:szCs w:val="24"/>
                <w:u w:val="none"/>
              </w:rPr>
            </w:pPr>
          </w:p>
        </w:tc>
      </w:tr>
      <w:tr w14:paraId="41FE1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DB64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788C8">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房间墙面修复</w:t>
            </w:r>
          </w:p>
          <w:p w14:paraId="700B004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工程</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9389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180248</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8AA8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148452 </w:t>
            </w:r>
          </w:p>
        </w:tc>
        <w:tc>
          <w:tcPr>
            <w:tcW w:w="0" w:type="auto"/>
            <w:tcBorders>
              <w:top w:val="single" w:color="000000" w:sz="4" w:space="0"/>
              <w:left w:val="single" w:color="000000" w:sz="4" w:space="0"/>
              <w:bottom w:val="nil"/>
              <w:right w:val="single" w:color="000000" w:sz="4" w:space="0"/>
            </w:tcBorders>
            <w:shd w:val="clear" w:color="auto" w:fill="FFFFFF"/>
            <w:noWrap/>
            <w:vAlign w:val="center"/>
          </w:tcPr>
          <w:p w14:paraId="11FEA8B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31796 </w:t>
            </w:r>
          </w:p>
        </w:tc>
        <w:tc>
          <w:tcPr>
            <w:tcW w:w="1650" w:type="dxa"/>
            <w:tcBorders>
              <w:top w:val="single" w:color="000000" w:sz="4" w:space="0"/>
              <w:left w:val="nil"/>
              <w:bottom w:val="single" w:color="000000" w:sz="4" w:space="0"/>
              <w:right w:val="single" w:color="000000" w:sz="4" w:space="0"/>
            </w:tcBorders>
            <w:shd w:val="clear" w:color="auto" w:fill="FFFFFF"/>
            <w:vAlign w:val="center"/>
          </w:tcPr>
          <w:p w14:paraId="67E3E160">
            <w:pPr>
              <w:jc w:val="center"/>
              <w:rPr>
                <w:rFonts w:hint="eastAsia" w:ascii="仿宋_GB2312" w:hAnsi="宋体" w:eastAsia="仿宋_GB2312" w:cs="仿宋_GB2312"/>
                <w:i w:val="0"/>
                <w:iCs w:val="0"/>
                <w:color w:val="000000"/>
                <w:sz w:val="24"/>
                <w:szCs w:val="24"/>
                <w:u w:val="none"/>
              </w:rPr>
            </w:pPr>
          </w:p>
        </w:tc>
      </w:tr>
      <w:tr w14:paraId="2BAAB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72D84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DAB36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房门更换工程</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5A44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106545</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9F62D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100571 </w:t>
            </w:r>
          </w:p>
        </w:tc>
        <w:tc>
          <w:tcPr>
            <w:tcW w:w="0" w:type="auto"/>
            <w:tcBorders>
              <w:top w:val="single" w:color="000000" w:sz="4" w:space="0"/>
              <w:left w:val="single" w:color="000000" w:sz="4" w:space="0"/>
              <w:bottom w:val="nil"/>
              <w:right w:val="single" w:color="000000" w:sz="4" w:space="0"/>
            </w:tcBorders>
            <w:shd w:val="clear" w:color="auto" w:fill="FFFFFF"/>
            <w:noWrap/>
            <w:vAlign w:val="center"/>
          </w:tcPr>
          <w:p w14:paraId="2C5FBFD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5974 </w:t>
            </w:r>
          </w:p>
        </w:tc>
        <w:tc>
          <w:tcPr>
            <w:tcW w:w="1650" w:type="dxa"/>
            <w:tcBorders>
              <w:top w:val="single" w:color="000000" w:sz="4" w:space="0"/>
              <w:left w:val="nil"/>
              <w:bottom w:val="single" w:color="000000" w:sz="4" w:space="0"/>
              <w:right w:val="single" w:color="000000" w:sz="4" w:space="0"/>
            </w:tcBorders>
            <w:shd w:val="clear" w:color="auto" w:fill="FFFFFF"/>
            <w:vAlign w:val="center"/>
          </w:tcPr>
          <w:p w14:paraId="0D5337B3">
            <w:pPr>
              <w:jc w:val="center"/>
              <w:rPr>
                <w:rFonts w:hint="eastAsia" w:ascii="仿宋_GB2312" w:hAnsi="宋体" w:eastAsia="仿宋_GB2312" w:cs="仿宋_GB2312"/>
                <w:i w:val="0"/>
                <w:iCs w:val="0"/>
                <w:color w:val="000000"/>
                <w:sz w:val="24"/>
                <w:szCs w:val="24"/>
                <w:u w:val="none"/>
              </w:rPr>
            </w:pPr>
          </w:p>
        </w:tc>
      </w:tr>
      <w:tr w14:paraId="5738A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BC6E3">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二</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9911A">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不可预见费</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E9EDF">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47562 </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783A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34916 </w:t>
            </w:r>
          </w:p>
        </w:tc>
        <w:tc>
          <w:tcPr>
            <w:tcW w:w="0" w:type="auto"/>
            <w:tcBorders>
              <w:top w:val="single" w:color="000000" w:sz="4" w:space="0"/>
              <w:left w:val="single" w:color="000000" w:sz="4" w:space="0"/>
              <w:bottom w:val="nil"/>
              <w:right w:val="single" w:color="000000" w:sz="4" w:space="0"/>
            </w:tcBorders>
            <w:shd w:val="clear" w:color="auto" w:fill="FFFFFF"/>
            <w:noWrap/>
            <w:vAlign w:val="center"/>
          </w:tcPr>
          <w:p w14:paraId="740E1D79">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12646 </w:t>
            </w:r>
          </w:p>
        </w:tc>
        <w:tc>
          <w:tcPr>
            <w:tcW w:w="1650" w:type="dxa"/>
            <w:tcBorders>
              <w:top w:val="single" w:color="000000" w:sz="4" w:space="0"/>
              <w:left w:val="nil"/>
              <w:bottom w:val="single" w:color="000000" w:sz="4" w:space="0"/>
              <w:right w:val="single" w:color="000000" w:sz="4" w:space="0"/>
            </w:tcBorders>
            <w:shd w:val="clear" w:color="auto" w:fill="FFFFFF"/>
            <w:vAlign w:val="center"/>
          </w:tcPr>
          <w:p w14:paraId="784D534E">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工程费5%</w:t>
            </w:r>
          </w:p>
        </w:tc>
      </w:tr>
      <w:tr w14:paraId="46425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C47253">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三</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C67E8F">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前期费用</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F880A">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47337 </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8028A7">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15687 </w:t>
            </w:r>
          </w:p>
        </w:tc>
        <w:tc>
          <w:tcPr>
            <w:tcW w:w="0" w:type="auto"/>
            <w:tcBorders>
              <w:top w:val="single" w:color="000000" w:sz="4" w:space="0"/>
              <w:left w:val="single" w:color="000000" w:sz="4" w:space="0"/>
              <w:bottom w:val="nil"/>
              <w:right w:val="single" w:color="000000" w:sz="4" w:space="0"/>
            </w:tcBorders>
            <w:shd w:val="clear" w:color="auto" w:fill="FFFFFF"/>
            <w:noWrap/>
            <w:vAlign w:val="center"/>
          </w:tcPr>
          <w:p w14:paraId="0166F6D6">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31650 </w:t>
            </w:r>
          </w:p>
        </w:tc>
        <w:tc>
          <w:tcPr>
            <w:tcW w:w="1650" w:type="dxa"/>
            <w:tcBorders>
              <w:top w:val="single" w:color="000000" w:sz="4" w:space="0"/>
              <w:left w:val="nil"/>
              <w:bottom w:val="single" w:color="000000" w:sz="4" w:space="0"/>
              <w:right w:val="single" w:color="000000" w:sz="4" w:space="0"/>
            </w:tcBorders>
            <w:shd w:val="clear" w:color="auto" w:fill="FFFFFF"/>
            <w:vAlign w:val="center"/>
          </w:tcPr>
          <w:p w14:paraId="37407155">
            <w:pPr>
              <w:jc w:val="center"/>
              <w:rPr>
                <w:rFonts w:hint="eastAsia" w:ascii="仿宋_GB2312" w:hAnsi="宋体" w:eastAsia="仿宋_GB2312" w:cs="仿宋_GB2312"/>
                <w:b/>
                <w:bCs/>
                <w:i w:val="0"/>
                <w:iCs w:val="0"/>
                <w:color w:val="000000"/>
                <w:sz w:val="24"/>
                <w:szCs w:val="24"/>
                <w:u w:val="none"/>
              </w:rPr>
            </w:pPr>
          </w:p>
        </w:tc>
      </w:tr>
      <w:tr w14:paraId="6749A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16423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2278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设计费</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4A7E2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24405 </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0153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0" w:type="auto"/>
            <w:tcBorders>
              <w:top w:val="single" w:color="000000" w:sz="4" w:space="0"/>
              <w:left w:val="single" w:color="000000" w:sz="4" w:space="0"/>
              <w:bottom w:val="nil"/>
              <w:right w:val="single" w:color="000000" w:sz="4" w:space="0"/>
            </w:tcBorders>
            <w:shd w:val="clear" w:color="auto" w:fill="FFFFFF"/>
            <w:noWrap/>
            <w:vAlign w:val="center"/>
          </w:tcPr>
          <w:p w14:paraId="47164CE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24405 </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7157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应建设单位要求不计算费用</w:t>
            </w:r>
          </w:p>
        </w:tc>
      </w:tr>
      <w:tr w14:paraId="3A2D0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D5D6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6471A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造价咨询费</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9DBCD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5050 </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7363B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3013 </w:t>
            </w:r>
          </w:p>
        </w:tc>
        <w:tc>
          <w:tcPr>
            <w:tcW w:w="0" w:type="auto"/>
            <w:tcBorders>
              <w:top w:val="single" w:color="000000" w:sz="4" w:space="0"/>
              <w:left w:val="single" w:color="000000" w:sz="4" w:space="0"/>
              <w:bottom w:val="nil"/>
              <w:right w:val="single" w:color="000000" w:sz="4" w:space="0"/>
            </w:tcBorders>
            <w:shd w:val="clear" w:color="auto" w:fill="FFFFFF"/>
            <w:noWrap/>
            <w:vAlign w:val="center"/>
          </w:tcPr>
          <w:p w14:paraId="0C8DE23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2037 </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E865E2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常财办发</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〔2017〕68号</w:t>
            </w:r>
          </w:p>
        </w:tc>
      </w:tr>
      <w:tr w14:paraId="0AC7C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113CE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F7644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监理费</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7EE0E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17882 </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8415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12674 </w:t>
            </w:r>
          </w:p>
        </w:tc>
        <w:tc>
          <w:tcPr>
            <w:tcW w:w="0" w:type="auto"/>
            <w:tcBorders>
              <w:top w:val="single" w:color="000000" w:sz="4" w:space="0"/>
              <w:left w:val="single" w:color="000000" w:sz="4" w:space="0"/>
              <w:bottom w:val="nil"/>
              <w:right w:val="single" w:color="000000" w:sz="4" w:space="0"/>
            </w:tcBorders>
            <w:shd w:val="clear" w:color="auto" w:fill="FFFFFF"/>
            <w:noWrap/>
            <w:vAlign w:val="center"/>
          </w:tcPr>
          <w:p w14:paraId="4664B6F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5208 </w:t>
            </w: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43D956">
            <w:pPr>
              <w:jc w:val="center"/>
              <w:rPr>
                <w:rFonts w:hint="eastAsia" w:ascii="仿宋_GB2312" w:hAnsi="宋体" w:eastAsia="仿宋_GB2312" w:cs="仿宋_GB2312"/>
                <w:i w:val="0"/>
                <w:iCs w:val="0"/>
                <w:color w:val="000000"/>
                <w:sz w:val="24"/>
                <w:szCs w:val="24"/>
                <w:u w:val="none"/>
              </w:rPr>
            </w:pPr>
          </w:p>
        </w:tc>
      </w:tr>
      <w:tr w14:paraId="478AC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73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B74B5FD">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合  计</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7AC6F">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998797 </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B73F0A">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748920 </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8B267">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 xml:space="preserve">249877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491841">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25.02%</w:t>
            </w:r>
          </w:p>
        </w:tc>
      </w:tr>
    </w:tbl>
    <w:p w14:paraId="05441B90"/>
    <w:sectPr>
      <w:pgSz w:w="11906" w:h="16838"/>
      <w:pgMar w:top="2154" w:right="1531" w:bottom="1440" w:left="153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1DCDD"/>
    <w:multiLevelType w:val="singleLevel"/>
    <w:tmpl w:val="DE81DCD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C95"/>
    <w:rsid w:val="00000756"/>
    <w:rsid w:val="00085B23"/>
    <w:rsid w:val="001215E9"/>
    <w:rsid w:val="00124BA6"/>
    <w:rsid w:val="001479F8"/>
    <w:rsid w:val="0021362D"/>
    <w:rsid w:val="00224739"/>
    <w:rsid w:val="002550DA"/>
    <w:rsid w:val="002910E0"/>
    <w:rsid w:val="00293F9D"/>
    <w:rsid w:val="002A76CD"/>
    <w:rsid w:val="0030666D"/>
    <w:rsid w:val="003459A7"/>
    <w:rsid w:val="00355006"/>
    <w:rsid w:val="003B1247"/>
    <w:rsid w:val="003C1927"/>
    <w:rsid w:val="003E7F11"/>
    <w:rsid w:val="00441C6A"/>
    <w:rsid w:val="00484DFC"/>
    <w:rsid w:val="004A70E5"/>
    <w:rsid w:val="004B2325"/>
    <w:rsid w:val="004D08C3"/>
    <w:rsid w:val="00530125"/>
    <w:rsid w:val="00597761"/>
    <w:rsid w:val="005C25C6"/>
    <w:rsid w:val="005E03B0"/>
    <w:rsid w:val="00617840"/>
    <w:rsid w:val="006365E1"/>
    <w:rsid w:val="00643849"/>
    <w:rsid w:val="00684E64"/>
    <w:rsid w:val="006908F6"/>
    <w:rsid w:val="006F4ED8"/>
    <w:rsid w:val="007674DA"/>
    <w:rsid w:val="00783187"/>
    <w:rsid w:val="007977F1"/>
    <w:rsid w:val="00885C95"/>
    <w:rsid w:val="008949B8"/>
    <w:rsid w:val="008C6E6E"/>
    <w:rsid w:val="00957E17"/>
    <w:rsid w:val="009729BD"/>
    <w:rsid w:val="00983433"/>
    <w:rsid w:val="00987E15"/>
    <w:rsid w:val="009A5363"/>
    <w:rsid w:val="009D0076"/>
    <w:rsid w:val="009D294F"/>
    <w:rsid w:val="009E1678"/>
    <w:rsid w:val="009E3E4E"/>
    <w:rsid w:val="00A20CF8"/>
    <w:rsid w:val="00A83634"/>
    <w:rsid w:val="00AE318F"/>
    <w:rsid w:val="00B10D36"/>
    <w:rsid w:val="00B131C8"/>
    <w:rsid w:val="00B13E31"/>
    <w:rsid w:val="00B57111"/>
    <w:rsid w:val="00B93D71"/>
    <w:rsid w:val="00B97A21"/>
    <w:rsid w:val="00BB045A"/>
    <w:rsid w:val="00BD2724"/>
    <w:rsid w:val="00BF1B1B"/>
    <w:rsid w:val="00C160E8"/>
    <w:rsid w:val="00C3151B"/>
    <w:rsid w:val="00C363A1"/>
    <w:rsid w:val="00C60121"/>
    <w:rsid w:val="00C810E0"/>
    <w:rsid w:val="00C879BE"/>
    <w:rsid w:val="00CB2A73"/>
    <w:rsid w:val="00CC1F81"/>
    <w:rsid w:val="00D40239"/>
    <w:rsid w:val="00D45129"/>
    <w:rsid w:val="00D505AA"/>
    <w:rsid w:val="00D62C9B"/>
    <w:rsid w:val="00D83731"/>
    <w:rsid w:val="00DA4780"/>
    <w:rsid w:val="00DB1BF1"/>
    <w:rsid w:val="00DC5B31"/>
    <w:rsid w:val="00DD2057"/>
    <w:rsid w:val="00DE41FE"/>
    <w:rsid w:val="00E254A1"/>
    <w:rsid w:val="00ED1673"/>
    <w:rsid w:val="00F36E1D"/>
    <w:rsid w:val="00F67CB7"/>
    <w:rsid w:val="00F85FF3"/>
    <w:rsid w:val="00FE121F"/>
    <w:rsid w:val="00FE4C73"/>
    <w:rsid w:val="05B71062"/>
    <w:rsid w:val="0DBF4571"/>
    <w:rsid w:val="1228646B"/>
    <w:rsid w:val="13304061"/>
    <w:rsid w:val="14CD18FF"/>
    <w:rsid w:val="14F964DC"/>
    <w:rsid w:val="175E319B"/>
    <w:rsid w:val="1BE45358"/>
    <w:rsid w:val="1BF25BB2"/>
    <w:rsid w:val="1CF5540F"/>
    <w:rsid w:val="1D75559B"/>
    <w:rsid w:val="1E394EF5"/>
    <w:rsid w:val="28A556FA"/>
    <w:rsid w:val="2E916B5A"/>
    <w:rsid w:val="2E951F5C"/>
    <w:rsid w:val="35827B62"/>
    <w:rsid w:val="449A6F0B"/>
    <w:rsid w:val="4D011F8F"/>
    <w:rsid w:val="4E3635E5"/>
    <w:rsid w:val="53B047CE"/>
    <w:rsid w:val="5932754F"/>
    <w:rsid w:val="6DE0795A"/>
    <w:rsid w:val="724E3A09"/>
    <w:rsid w:val="73BE717F"/>
    <w:rsid w:val="7490652A"/>
    <w:rsid w:val="75B81342"/>
    <w:rsid w:val="76083C8B"/>
    <w:rsid w:val="785E32FB"/>
    <w:rsid w:val="7C9229D0"/>
    <w:rsid w:val="87F7C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qFormat="1"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5"/>
    <w:semiHidden/>
    <w:unhideWhenUsed/>
    <w:qFormat/>
    <w:uiPriority w:val="9"/>
    <w:pPr>
      <w:keepNext/>
      <w:keepLines/>
      <w:spacing w:before="80" w:after="40"/>
      <w:outlineLvl w:val="3"/>
    </w:pPr>
    <w:rPr>
      <w:rFonts w:asciiTheme="minorHAnsi" w:hAnsiTheme="minorHAnsi" w:eastAsiaTheme="minorEastAsia" w:cstheme="majorBidi"/>
      <w:color w:val="2F5597" w:themeColor="accent1" w:themeShade="BF"/>
      <w:sz w:val="28"/>
      <w:szCs w:val="28"/>
    </w:rPr>
  </w:style>
  <w:style w:type="paragraph" w:styleId="6">
    <w:name w:val="heading 5"/>
    <w:basedOn w:val="1"/>
    <w:next w:val="1"/>
    <w:link w:val="26"/>
    <w:semiHidden/>
    <w:unhideWhenUsed/>
    <w:qFormat/>
    <w:uiPriority w:val="9"/>
    <w:pPr>
      <w:keepNext/>
      <w:keepLines/>
      <w:spacing w:before="80" w:after="40"/>
      <w:outlineLvl w:val="4"/>
    </w:pPr>
    <w:rPr>
      <w:rFonts w:asciiTheme="minorHAnsi" w:hAnsiTheme="minorHAnsi" w:eastAsiaTheme="minorEastAsia" w:cstheme="majorBidi"/>
      <w:color w:val="2F5597" w:themeColor="accent1" w:themeShade="BF"/>
      <w:sz w:val="24"/>
    </w:rPr>
  </w:style>
  <w:style w:type="paragraph" w:styleId="7">
    <w:name w:val="heading 6"/>
    <w:basedOn w:val="1"/>
    <w:next w:val="1"/>
    <w:link w:val="27"/>
    <w:semiHidden/>
    <w:unhideWhenUsed/>
    <w:qFormat/>
    <w:uiPriority w:val="9"/>
    <w:pPr>
      <w:keepNext/>
      <w:keepLines/>
      <w:spacing w:before="40"/>
      <w:outlineLvl w:val="5"/>
    </w:pPr>
    <w:rPr>
      <w:rFonts w:asciiTheme="minorHAnsi" w:hAnsiTheme="minorHAnsi" w:eastAsiaTheme="minorEastAsia" w:cstheme="majorBidi"/>
      <w:b/>
      <w:bCs/>
      <w:color w:val="2F5597" w:themeColor="accent1" w:themeShade="BF"/>
      <w:sz w:val="24"/>
    </w:rPr>
  </w:style>
  <w:style w:type="paragraph" w:styleId="8">
    <w:name w:val="heading 7"/>
    <w:basedOn w:val="1"/>
    <w:next w:val="1"/>
    <w:link w:val="28"/>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 w:val="24"/>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outlineLvl w:val="7"/>
    </w:pPr>
    <w:rPr>
      <w:rFonts w:asciiTheme="minorHAnsi" w:hAnsiTheme="minorHAnsi" w:eastAsiaTheme="minorEastAsia" w:cstheme="majorBidi"/>
      <w:color w:val="595959" w:themeColor="text1" w:themeTint="A6"/>
      <w:sz w:val="24"/>
      <w14:textFill>
        <w14:solidFill>
          <w14:schemeClr w14:val="tx1">
            <w14:lumMod w14:val="65000"/>
            <w14:lumOff w14:val="35000"/>
          </w14:schemeClr>
        </w14:solidFill>
      </w14:textFill>
    </w:rPr>
  </w:style>
  <w:style w:type="paragraph" w:styleId="10">
    <w:name w:val="heading 9"/>
    <w:basedOn w:val="1"/>
    <w:next w:val="1"/>
    <w:link w:val="30"/>
    <w:semiHidden/>
    <w:unhideWhenUsed/>
    <w:qFormat/>
    <w:uiPriority w:val="9"/>
    <w:pPr>
      <w:keepNext/>
      <w:keepLines/>
      <w:outlineLvl w:val="8"/>
    </w:pPr>
    <w:rPr>
      <w:rFonts w:asciiTheme="minorHAnsi" w:hAnsiTheme="minorHAnsi" w:eastAsiaTheme="majorEastAsia" w:cstheme="majorBidi"/>
      <w:color w:val="595959" w:themeColor="text1" w:themeTint="A6"/>
      <w:sz w:val="24"/>
      <w14:textFill>
        <w14:solidFill>
          <w14:schemeClr w14:val="tx1">
            <w14:lumMod w14:val="65000"/>
            <w14:lumOff w14:val="35000"/>
          </w14:schemeClr>
        </w14:solidFill>
      </w14:textFill>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Body Text"/>
    <w:basedOn w:val="1"/>
    <w:next w:val="12"/>
    <w:link w:val="41"/>
    <w:semiHidden/>
    <w:qFormat/>
    <w:uiPriority w:val="0"/>
    <w:rPr>
      <w:rFonts w:ascii="Arial" w:hAnsi="Arial" w:eastAsia="Arial" w:cs="Arial"/>
      <w:szCs w:val="21"/>
      <w:lang w:eastAsia="en-US"/>
    </w:rPr>
  </w:style>
  <w:style w:type="paragraph" w:styleId="12">
    <w:name w:val="toc 9"/>
    <w:basedOn w:val="1"/>
    <w:next w:val="1"/>
    <w:semiHidden/>
    <w:unhideWhenUsed/>
    <w:qFormat/>
    <w:uiPriority w:val="39"/>
    <w:pPr>
      <w:ind w:left="3360" w:leftChars="1600"/>
    </w:pPr>
  </w:style>
  <w:style w:type="paragraph" w:styleId="13">
    <w:name w:val="Body Text Indent"/>
    <w:basedOn w:val="1"/>
    <w:next w:val="14"/>
    <w:link w:val="42"/>
    <w:qFormat/>
    <w:uiPriority w:val="0"/>
    <w:pPr>
      <w:ind w:firstLine="600" w:firstLineChars="200"/>
    </w:pPr>
    <w:rPr>
      <w:rFonts w:eastAsia="仿宋_GB2312"/>
      <w:sz w:val="30"/>
    </w:rPr>
  </w:style>
  <w:style w:type="paragraph" w:styleId="14">
    <w:name w:val="envelope return"/>
    <w:basedOn w:val="1"/>
    <w:semiHidden/>
    <w:unhideWhenUsed/>
    <w:qFormat/>
    <w:uiPriority w:val="99"/>
    <w:pPr>
      <w:snapToGrid w:val="0"/>
    </w:pPr>
    <w:rPr>
      <w:rFonts w:asciiTheme="majorHAnsi" w:hAnsiTheme="majorHAnsi" w:eastAsiaTheme="majorEastAsia" w:cstheme="majorBidi"/>
    </w:rPr>
  </w:style>
  <w:style w:type="paragraph" w:styleId="15">
    <w:name w:val="Body Text Indent 2"/>
    <w:basedOn w:val="1"/>
    <w:link w:val="40"/>
    <w:qFormat/>
    <w:uiPriority w:val="0"/>
    <w:pPr>
      <w:spacing w:line="588" w:lineRule="atLeast"/>
    </w:pPr>
    <w:rPr>
      <w:rFonts w:eastAsia="方正仿宋_GBK"/>
      <w:spacing w:val="6"/>
      <w:sz w:val="30"/>
      <w:szCs w:val="22"/>
    </w:rPr>
  </w:style>
  <w:style w:type="paragraph" w:styleId="16">
    <w:name w:val="footer"/>
    <w:basedOn w:val="1"/>
    <w:link w:val="44"/>
    <w:unhideWhenUsed/>
    <w:qFormat/>
    <w:uiPriority w:val="99"/>
    <w:pPr>
      <w:tabs>
        <w:tab w:val="center" w:pos="4153"/>
        <w:tab w:val="right" w:pos="8306"/>
      </w:tabs>
      <w:snapToGrid w:val="0"/>
      <w:jc w:val="left"/>
    </w:pPr>
    <w:rPr>
      <w:sz w:val="18"/>
      <w:szCs w:val="18"/>
    </w:rPr>
  </w:style>
  <w:style w:type="paragraph" w:styleId="17">
    <w:name w:val="header"/>
    <w:basedOn w:val="1"/>
    <w:link w:val="43"/>
    <w:unhideWhenUsed/>
    <w:qFormat/>
    <w:uiPriority w:val="99"/>
    <w:pPr>
      <w:tabs>
        <w:tab w:val="center" w:pos="4153"/>
        <w:tab w:val="right" w:pos="8306"/>
      </w:tabs>
      <w:snapToGrid w:val="0"/>
      <w:jc w:val="center"/>
    </w:pPr>
    <w:rPr>
      <w:sz w:val="18"/>
      <w:szCs w:val="18"/>
    </w:rPr>
  </w:style>
  <w:style w:type="paragraph" w:styleId="18">
    <w:name w:val="Subtitle"/>
    <w:basedOn w:val="1"/>
    <w:next w:val="1"/>
    <w:link w:val="32"/>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2">
    <w:name w:val="标题 1 字符"/>
    <w:basedOn w:val="21"/>
    <w:link w:val="2"/>
    <w:qFormat/>
    <w:uiPriority w:val="9"/>
    <w:rPr>
      <w:rFonts w:asciiTheme="majorHAnsi" w:hAnsiTheme="majorHAnsi" w:eastAsiaTheme="majorEastAsia" w:cstheme="majorBidi"/>
      <w:color w:val="2F5597" w:themeColor="accent1" w:themeShade="BF"/>
      <w:sz w:val="48"/>
      <w:szCs w:val="48"/>
    </w:rPr>
  </w:style>
  <w:style w:type="character" w:customStyle="1" w:styleId="23">
    <w:name w:val="标题 2 字符"/>
    <w:basedOn w:val="21"/>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4">
    <w:name w:val="标题 3 字符"/>
    <w:basedOn w:val="21"/>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5">
    <w:name w:val="标题 4 字符"/>
    <w:basedOn w:val="21"/>
    <w:link w:val="5"/>
    <w:semiHidden/>
    <w:qFormat/>
    <w:uiPriority w:val="9"/>
    <w:rPr>
      <w:rFonts w:cstheme="majorBidi"/>
      <w:color w:val="2F5597" w:themeColor="accent1" w:themeShade="BF"/>
      <w:sz w:val="28"/>
      <w:szCs w:val="28"/>
    </w:rPr>
  </w:style>
  <w:style w:type="character" w:customStyle="1" w:styleId="26">
    <w:name w:val="标题 5 字符"/>
    <w:basedOn w:val="21"/>
    <w:link w:val="6"/>
    <w:semiHidden/>
    <w:qFormat/>
    <w:uiPriority w:val="9"/>
    <w:rPr>
      <w:rFonts w:cstheme="majorBidi"/>
      <w:color w:val="2F5597" w:themeColor="accent1" w:themeShade="BF"/>
      <w:sz w:val="24"/>
      <w:szCs w:val="24"/>
    </w:rPr>
  </w:style>
  <w:style w:type="character" w:customStyle="1" w:styleId="27">
    <w:name w:val="标题 6 字符"/>
    <w:basedOn w:val="21"/>
    <w:link w:val="7"/>
    <w:semiHidden/>
    <w:qFormat/>
    <w:uiPriority w:val="9"/>
    <w:rPr>
      <w:rFonts w:cstheme="majorBidi"/>
      <w:b/>
      <w:bCs/>
      <w:color w:val="2F5597" w:themeColor="accent1" w:themeShade="BF"/>
      <w:sz w:val="24"/>
      <w:szCs w:val="24"/>
    </w:rPr>
  </w:style>
  <w:style w:type="character" w:customStyle="1" w:styleId="28">
    <w:name w:val="标题 7 字符"/>
    <w:basedOn w:val="21"/>
    <w:link w:val="8"/>
    <w:semiHidden/>
    <w:qFormat/>
    <w:uiPriority w:val="9"/>
    <w:rPr>
      <w:rFonts w:cstheme="majorBidi"/>
      <w:b/>
      <w:bCs/>
      <w:color w:val="595959" w:themeColor="text1" w:themeTint="A6"/>
      <w:sz w:val="24"/>
      <w:szCs w:val="24"/>
      <w14:textFill>
        <w14:solidFill>
          <w14:schemeClr w14:val="tx1">
            <w14:lumMod w14:val="65000"/>
            <w14:lumOff w14:val="35000"/>
          </w14:schemeClr>
        </w14:solidFill>
      </w14:textFill>
    </w:rPr>
  </w:style>
  <w:style w:type="character" w:customStyle="1" w:styleId="29">
    <w:name w:val="标题 8 字符"/>
    <w:basedOn w:val="21"/>
    <w:link w:val="9"/>
    <w:semiHidden/>
    <w:qFormat/>
    <w:uiPriority w:val="9"/>
    <w:rPr>
      <w:rFonts w:cstheme="majorBidi"/>
      <w:color w:val="595959" w:themeColor="text1" w:themeTint="A6"/>
      <w:sz w:val="24"/>
      <w:szCs w:val="24"/>
      <w14:textFill>
        <w14:solidFill>
          <w14:schemeClr w14:val="tx1">
            <w14:lumMod w14:val="65000"/>
            <w14:lumOff w14:val="35000"/>
          </w14:schemeClr>
        </w14:solidFill>
      </w14:textFill>
    </w:rPr>
  </w:style>
  <w:style w:type="character" w:customStyle="1" w:styleId="30">
    <w:name w:val="标题 9 字符"/>
    <w:basedOn w:val="21"/>
    <w:link w:val="10"/>
    <w:semiHidden/>
    <w:qFormat/>
    <w:uiPriority w:val="9"/>
    <w:rPr>
      <w:rFonts w:eastAsiaTheme="majorEastAsia" w:cstheme="majorBidi"/>
      <w:color w:val="595959" w:themeColor="text1" w:themeTint="A6"/>
      <w:sz w:val="24"/>
      <w:szCs w:val="24"/>
      <w14:textFill>
        <w14:solidFill>
          <w14:schemeClr w14:val="tx1">
            <w14:lumMod w14:val="65000"/>
            <w14:lumOff w14:val="35000"/>
          </w14:schemeClr>
        </w14:solidFill>
      </w14:textFill>
    </w:rPr>
  </w:style>
  <w:style w:type="character" w:customStyle="1" w:styleId="31">
    <w:name w:val="标题 字符"/>
    <w:basedOn w:val="21"/>
    <w:link w:val="19"/>
    <w:qFormat/>
    <w:uiPriority w:val="10"/>
    <w:rPr>
      <w:rFonts w:asciiTheme="majorHAnsi" w:hAnsiTheme="majorHAnsi" w:eastAsiaTheme="majorEastAsia" w:cstheme="majorBidi"/>
      <w:spacing w:val="-10"/>
      <w:kern w:val="28"/>
      <w:sz w:val="56"/>
      <w:szCs w:val="56"/>
    </w:rPr>
  </w:style>
  <w:style w:type="character" w:customStyle="1" w:styleId="32">
    <w:name w:val="副标题 字符"/>
    <w:basedOn w:val="21"/>
    <w:link w:val="18"/>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after="160"/>
      <w:jc w:val="center"/>
    </w:pPr>
    <w:rPr>
      <w:rFonts w:ascii="Times New Roman" w:hAnsi="Times New Roman" w:eastAsia="仿宋_GB2312"/>
      <w:i/>
      <w:iCs/>
      <w:color w:val="404040" w:themeColor="text1" w:themeTint="BF"/>
      <w:sz w:val="24"/>
      <w14:textFill>
        <w14:solidFill>
          <w14:schemeClr w14:val="tx1">
            <w14:lumMod w14:val="75000"/>
            <w14:lumOff w14:val="25000"/>
          </w14:schemeClr>
        </w14:solidFill>
      </w14:textFill>
    </w:rPr>
  </w:style>
  <w:style w:type="character" w:customStyle="1" w:styleId="34">
    <w:name w:val="引用 字符"/>
    <w:basedOn w:val="21"/>
    <w:link w:val="33"/>
    <w:qFormat/>
    <w:uiPriority w:val="29"/>
    <w:rPr>
      <w:rFonts w:ascii="Times New Roman" w:hAnsi="Times New Roman" w:eastAsia="仿宋_GB2312" w:cs="Times New Roman"/>
      <w:i/>
      <w:iCs/>
      <w:color w:val="404040" w:themeColor="text1" w:themeTint="BF"/>
      <w:sz w:val="24"/>
      <w:szCs w:val="24"/>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rPr>
      <w:rFonts w:ascii="Times New Roman" w:hAnsi="Times New Roman" w:eastAsia="仿宋_GB2312"/>
      <w:sz w:val="24"/>
    </w:rPr>
  </w:style>
  <w:style w:type="character" w:customStyle="1" w:styleId="36">
    <w:name w:val="Intense Emphasis"/>
    <w:basedOn w:val="21"/>
    <w:qFormat/>
    <w:uiPriority w:val="21"/>
    <w:rPr>
      <w:i/>
      <w:iCs/>
      <w:color w:val="2F5597" w:themeColor="accent1" w:themeShade="BF"/>
    </w:rPr>
  </w:style>
  <w:style w:type="paragraph" w:styleId="37">
    <w:name w:val="Intense Quote"/>
    <w:basedOn w:val="1"/>
    <w:next w:val="1"/>
    <w:link w:val="38"/>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rFonts w:ascii="Times New Roman" w:hAnsi="Times New Roman" w:eastAsia="仿宋_GB2312"/>
      <w:i/>
      <w:iCs/>
      <w:color w:val="2F5597" w:themeColor="accent1" w:themeShade="BF"/>
      <w:sz w:val="24"/>
    </w:rPr>
  </w:style>
  <w:style w:type="character" w:customStyle="1" w:styleId="38">
    <w:name w:val="明显引用 字符"/>
    <w:basedOn w:val="21"/>
    <w:link w:val="37"/>
    <w:qFormat/>
    <w:uiPriority w:val="30"/>
    <w:rPr>
      <w:rFonts w:ascii="Times New Roman" w:hAnsi="Times New Roman" w:eastAsia="仿宋_GB2312" w:cs="Times New Roman"/>
      <w:i/>
      <w:iCs/>
      <w:color w:val="2F5597" w:themeColor="accent1" w:themeShade="BF"/>
      <w:sz w:val="24"/>
      <w:szCs w:val="24"/>
    </w:rPr>
  </w:style>
  <w:style w:type="character" w:customStyle="1" w:styleId="39">
    <w:name w:val="Intense Reference"/>
    <w:basedOn w:val="21"/>
    <w:qFormat/>
    <w:uiPriority w:val="32"/>
    <w:rPr>
      <w:b/>
      <w:bCs/>
      <w:smallCaps/>
      <w:color w:val="2F5597" w:themeColor="accent1" w:themeShade="BF"/>
      <w:spacing w:val="5"/>
    </w:rPr>
  </w:style>
  <w:style w:type="character" w:customStyle="1" w:styleId="40">
    <w:name w:val="正文文本缩进 2 字符"/>
    <w:basedOn w:val="21"/>
    <w:link w:val="15"/>
    <w:qFormat/>
    <w:uiPriority w:val="0"/>
    <w:rPr>
      <w:rFonts w:ascii="Calibri" w:hAnsi="Calibri" w:eastAsia="方正仿宋_GBK" w:cs="Times New Roman"/>
      <w:spacing w:val="6"/>
      <w:sz w:val="30"/>
    </w:rPr>
  </w:style>
  <w:style w:type="character" w:customStyle="1" w:styleId="41">
    <w:name w:val="正文文本 字符"/>
    <w:basedOn w:val="21"/>
    <w:link w:val="11"/>
    <w:semiHidden/>
    <w:qFormat/>
    <w:uiPriority w:val="0"/>
    <w:rPr>
      <w:rFonts w:ascii="Arial" w:hAnsi="Arial" w:eastAsia="Arial" w:cs="Arial"/>
      <w:szCs w:val="21"/>
      <w:lang w:eastAsia="en-US"/>
    </w:rPr>
  </w:style>
  <w:style w:type="character" w:customStyle="1" w:styleId="42">
    <w:name w:val="正文文本缩进 字符"/>
    <w:basedOn w:val="21"/>
    <w:link w:val="13"/>
    <w:qFormat/>
    <w:uiPriority w:val="0"/>
    <w:rPr>
      <w:rFonts w:ascii="Calibri" w:hAnsi="Calibri" w:eastAsia="仿宋_GB2312" w:cs="Times New Roman"/>
      <w:sz w:val="30"/>
      <w:szCs w:val="24"/>
    </w:rPr>
  </w:style>
  <w:style w:type="character" w:customStyle="1" w:styleId="43">
    <w:name w:val="页眉 字符"/>
    <w:basedOn w:val="21"/>
    <w:link w:val="17"/>
    <w:qFormat/>
    <w:uiPriority w:val="99"/>
    <w:rPr>
      <w:rFonts w:ascii="Calibri" w:hAnsi="Calibri" w:eastAsia="宋体" w:cs="Times New Roman"/>
      <w:sz w:val="18"/>
      <w:szCs w:val="18"/>
    </w:rPr>
  </w:style>
  <w:style w:type="character" w:customStyle="1" w:styleId="44">
    <w:name w:val="页脚 字符"/>
    <w:basedOn w:val="21"/>
    <w:link w:val="16"/>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1301</Words>
  <Characters>1535</Characters>
  <Lines>10</Lines>
  <Paragraphs>2</Paragraphs>
  <TotalTime>14</TotalTime>
  <ScaleCrop>false</ScaleCrop>
  <LinksUpToDate>false</LinksUpToDate>
  <CharactersWithSpaces>1574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2025-11-11T17:05:00Z</dcterms:created>
  <dc:creator>v</dc:creator>
  <cp:lastModifiedBy>～小太阳。</cp:lastModifiedBy>
  <cp:lastPrinted>2026-01-09T14:42:00Z</cp:lastPrinted>
  <dcterms:modified xsi:type="dcterms:W3CDTF">2026-02-11T02:19:59Z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eyJoZGlkIjoiN2JhZWQ5OTNmMDkxZjMwYjU4ZmUwNzc3NTdiZGUwY2IiLCJ1c2VySWQiOiIxMDc2NTE4NzkzIn0=</vt:lpwstr>
  </property>
  <property fmtid="{D5CDD505-2E9C-101B-9397-08002B2CF9AE}" pid="3" name="KSOProductBuildVer">
    <vt:lpwstr>2052-12.1.0.24657</vt:lpwstr>
  </property>
  <property fmtid="{D5CDD505-2E9C-101B-9397-08002B2CF9AE}" pid="4" name="ICV">
    <vt:lpwstr>12E6047DE19C4590BA08108D9AE7DB26_13</vt:lpwstr>
  </property>
</Properties>
</file>