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720" w:firstLineChars="850"/>
        <w:textAlignment w:val="auto"/>
        <w:rPr>
          <w:rFonts w:ascii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720" w:firstLineChars="850"/>
        <w:textAlignment w:val="auto"/>
        <w:rPr>
          <w:rFonts w:ascii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720" w:firstLineChars="850"/>
        <w:textAlignment w:val="auto"/>
        <w:rPr>
          <w:rFonts w:ascii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720" w:firstLineChars="850"/>
        <w:textAlignment w:val="auto"/>
        <w:rPr>
          <w:rFonts w:ascii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720" w:firstLineChars="850"/>
        <w:textAlignment w:val="auto"/>
        <w:rPr>
          <w:rFonts w:ascii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720" w:firstLineChars="850"/>
        <w:textAlignment w:val="auto"/>
        <w:rPr>
          <w:rFonts w:ascii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785" w:firstLineChars="850"/>
        <w:jc w:val="center"/>
        <w:textAlignment w:val="auto"/>
        <w:rPr>
          <w:rFonts w:ascii="仿宋_GB2312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720" w:firstLineChars="850"/>
        <w:textAlignment w:val="auto"/>
        <w:rPr>
          <w:rFonts w:ascii="仿宋_GB2312" w:hAnsi="宋体"/>
        </w:rPr>
      </w:pPr>
      <w:r>
        <w:rPr>
          <w:rFonts w:hint="eastAsia" w:ascii="仿宋_GB2312" w:hAnsi="宋体"/>
        </w:rPr>
        <w:t>常财审〔201</w:t>
      </w:r>
      <w:r>
        <w:rPr>
          <w:rFonts w:hint="eastAsia" w:ascii="仿宋_GB2312" w:hAnsi="宋体"/>
          <w:lang w:val="en-US" w:eastAsia="zh-CN"/>
        </w:rPr>
        <w:t>9</w:t>
      </w:r>
      <w:r>
        <w:rPr>
          <w:rFonts w:hint="eastAsia" w:ascii="仿宋_GB2312" w:hAnsi="宋体"/>
        </w:rPr>
        <w:t>〕预字</w:t>
      </w:r>
      <w:r>
        <w:rPr>
          <w:rFonts w:hint="eastAsia" w:ascii="仿宋_GB2312" w:hAnsi="宋体"/>
          <w:lang w:val="en-US" w:eastAsia="zh-CN"/>
        </w:rPr>
        <w:t>65</w:t>
      </w:r>
      <w:r>
        <w:rPr>
          <w:rFonts w:hint="eastAsia" w:ascii="仿宋_GB2312" w:hAnsi="宋体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731" w:firstLineChars="850"/>
        <w:textAlignment w:val="auto"/>
        <w:rPr>
          <w:rFonts w:ascii="仿宋_GB2312"/>
          <w:b/>
          <w:bCs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/>
          <w:sz w:val="44"/>
          <w:szCs w:val="44"/>
          <w:lang w:val="en-US" w:eastAsia="zh-CN"/>
        </w:rPr>
      </w:pPr>
      <w:r>
        <w:rPr>
          <w:rFonts w:hint="eastAsia" w:ascii="宋体" w:hAnsi="宋体" w:eastAsia="宋体"/>
          <w:sz w:val="44"/>
          <w:szCs w:val="44"/>
        </w:rPr>
        <w:t xml:space="preserve"> 关于</w:t>
      </w:r>
      <w:r>
        <w:rPr>
          <w:rFonts w:hint="eastAsia" w:ascii="宋体" w:hAnsi="宋体" w:eastAsia="宋体"/>
          <w:sz w:val="44"/>
          <w:szCs w:val="44"/>
          <w:lang w:val="en-US" w:eastAsia="zh-CN"/>
        </w:rPr>
        <w:t>常德市第三中学体艺馆活动场木地板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eastAsia="宋体"/>
          <w:sz w:val="44"/>
          <w:szCs w:val="44"/>
        </w:rPr>
      </w:pPr>
      <w:r>
        <w:rPr>
          <w:rFonts w:hint="eastAsia" w:ascii="宋体" w:hAnsi="宋体" w:eastAsia="宋体"/>
          <w:sz w:val="44"/>
          <w:szCs w:val="44"/>
          <w:lang w:val="en-US" w:eastAsia="zh-CN"/>
        </w:rPr>
        <w:t>工程</w:t>
      </w:r>
      <w:r>
        <w:rPr>
          <w:rFonts w:hint="eastAsia" w:ascii="宋体" w:hAnsi="宋体" w:eastAsia="宋体" w:cs="仿宋_GB2312"/>
          <w:sz w:val="44"/>
          <w:szCs w:val="44"/>
        </w:rPr>
        <w:t>预算</w:t>
      </w:r>
      <w:r>
        <w:rPr>
          <w:rFonts w:hint="eastAsia" w:ascii="宋体" w:hAnsi="宋体" w:eastAsia="宋体"/>
          <w:sz w:val="44"/>
          <w:szCs w:val="44"/>
        </w:rPr>
        <w:t>评审的报告</w:t>
      </w:r>
    </w:p>
    <w:p>
      <w:pPr>
        <w:pStyle w:val="2"/>
        <w:spacing w:line="550" w:lineRule="exact"/>
        <w:rPr>
          <w:rFonts w:ascii="仿宋_GB2312" w:hAnsi="黑体" w:eastAsia="仿宋_GB2312"/>
          <w:sz w:val="40"/>
          <w:szCs w:val="40"/>
        </w:rPr>
      </w:pPr>
    </w:p>
    <w:p>
      <w:pPr>
        <w:snapToGrid w:val="0"/>
        <w:spacing w:line="550" w:lineRule="exact"/>
        <w:textAlignment w:val="baseline"/>
        <w:rPr>
          <w:rFonts w:ascii="仿宋_GB2312" w:hAnsi="黑体"/>
        </w:rPr>
      </w:pPr>
      <w:r>
        <w:rPr>
          <w:rFonts w:hint="eastAsia" w:ascii="仿宋_GB2312" w:hAnsi="黑体"/>
        </w:rPr>
        <w:t>常德市财政局</w:t>
      </w:r>
      <w:r>
        <w:rPr>
          <w:rFonts w:hint="eastAsia" w:ascii="仿宋_GB2312" w:hAnsi="黑体"/>
          <w:lang w:val="en-US" w:eastAsia="zh-CN"/>
        </w:rPr>
        <w:t>教科文</w:t>
      </w:r>
      <w:r>
        <w:rPr>
          <w:rFonts w:hint="eastAsia" w:ascii="仿宋_GB2312" w:hAnsi="黑体"/>
        </w:rPr>
        <w:t>科：</w:t>
      </w:r>
    </w:p>
    <w:p>
      <w:pPr>
        <w:spacing w:line="550" w:lineRule="exact"/>
        <w:ind w:firstLine="640" w:firstLineChars="200"/>
        <w:rPr>
          <w:rFonts w:ascii="仿宋_GB2312" w:hAnsi="仿宋" w:cs="仿宋"/>
        </w:rPr>
      </w:pPr>
      <w:r>
        <w:rPr>
          <w:rFonts w:hint="eastAsia" w:ascii="仿宋_GB2312" w:hAnsi="仿宋" w:cs="仿宋"/>
        </w:rPr>
        <w:t>根据《财政投资评审管理规定》、《常德市财政投资评审管理办法》，我中心对你科委托的</w:t>
      </w:r>
      <w:r>
        <w:rPr>
          <w:rFonts w:hint="eastAsia" w:ascii="仿宋_GB2312" w:hAnsi="仿宋" w:cs="仿宋"/>
          <w:lang w:val="en-US" w:eastAsia="zh-CN"/>
        </w:rPr>
        <w:t>常德市第三中学体艺馆活动场木地板</w:t>
      </w:r>
      <w:r>
        <w:rPr>
          <w:rFonts w:hint="eastAsia" w:ascii="仿宋_GB2312" w:hAnsi="仿宋" w:cs="仿宋"/>
        </w:rPr>
        <w:t>工程预算进行了评审。</w:t>
      </w:r>
    </w:p>
    <w:p>
      <w:pPr>
        <w:spacing w:line="550" w:lineRule="exact"/>
        <w:ind w:firstLine="64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一、项目概况</w:t>
      </w:r>
    </w:p>
    <w:p>
      <w:pPr>
        <w:snapToGrid w:val="0"/>
        <w:spacing w:line="550" w:lineRule="exact"/>
        <w:ind w:firstLine="640" w:firstLineChars="200"/>
        <w:rPr>
          <w:rFonts w:hint="eastAsia" w:ascii="仿宋_GB2312" w:hAnsi="仿宋" w:cs="仿宋"/>
          <w:lang w:val="en-US" w:eastAsia="zh-CN"/>
        </w:rPr>
      </w:pPr>
      <w:r>
        <w:rPr>
          <w:rFonts w:hint="eastAsia" w:ascii="仿宋_GB2312" w:hAnsi="仿宋" w:cs="仿宋"/>
        </w:rPr>
        <w:t>该项目为</w:t>
      </w:r>
      <w:r>
        <w:rPr>
          <w:rFonts w:hint="eastAsia" w:ascii="仿宋_GB2312" w:hAnsi="仿宋" w:cs="仿宋"/>
          <w:lang w:val="en-US" w:eastAsia="zh-CN"/>
        </w:rPr>
        <w:t>常德市第三中学体艺馆活动场木地板工程</w:t>
      </w:r>
      <w:r>
        <w:rPr>
          <w:rFonts w:hint="eastAsia" w:ascii="仿宋_GB2312" w:hAnsi="仿宋" w:cs="仿宋"/>
        </w:rPr>
        <w:t>。</w:t>
      </w:r>
      <w:r>
        <w:rPr>
          <w:rFonts w:hint="eastAsia" w:ascii="仿宋_GB2312" w:hAnsi="仿宋" w:cs="仿宋"/>
          <w:lang w:val="en-US" w:eastAsia="zh-CN"/>
        </w:rPr>
        <w:t>篮球场及主席台地面施工内容：素土夯实、80厚C15砼、素水泥浆一遍、40厚C20细石砼随打随抹光、3mm锡箔纸防潮膜、10mm减震橡胶垫、下层60*80mm松木龙骨@300mm、15mm减震橡胶垫、上层60*80mm松木龙骨@300mm、18mm松木毛地板层、3mm锡箔纸防潮膜、进口22mm枫木实木地板、面层刷进口运动木地板专用漆。</w:t>
      </w:r>
    </w:p>
    <w:p>
      <w:pPr>
        <w:snapToGrid w:val="0"/>
        <w:spacing w:line="550" w:lineRule="exact"/>
        <w:ind w:firstLine="640" w:firstLineChars="200"/>
        <w:rPr>
          <w:rFonts w:hint="eastAsia" w:ascii="仿宋_GB2312" w:hAnsi="仿宋" w:eastAsia="仿宋_GB2312" w:cs="仿宋"/>
          <w:lang w:val="en-US" w:eastAsia="zh-CN"/>
        </w:rPr>
      </w:pPr>
      <w:r>
        <w:rPr>
          <w:rFonts w:hint="eastAsia" w:ascii="仿宋_GB2312" w:hAnsi="仿宋" w:cs="仿宋"/>
          <w:lang w:val="en-US" w:eastAsia="zh-CN"/>
        </w:rPr>
        <w:t>该项目设计单位为湖南大象建筑规划设计有限公司。</w:t>
      </w:r>
    </w:p>
    <w:p>
      <w:pPr>
        <w:snapToGrid w:val="0"/>
        <w:spacing w:line="550" w:lineRule="exact"/>
        <w:ind w:firstLine="640" w:firstLineChars="200"/>
        <w:rPr>
          <w:rFonts w:ascii="仿宋_GB2312" w:hAnsi="仿宋" w:cs="仿宋"/>
        </w:rPr>
      </w:pPr>
      <w:r>
        <w:rPr>
          <w:rFonts w:hint="eastAsia" w:ascii="仿宋_GB2312" w:hAnsi="仿宋" w:cs="仿宋"/>
        </w:rPr>
        <w:t>资金来源为</w:t>
      </w:r>
      <w:r>
        <w:rPr>
          <w:rFonts w:hint="eastAsia" w:ascii="仿宋_GB2312" w:hAnsi="仿宋" w:cs="仿宋"/>
          <w:lang w:val="en-US" w:eastAsia="zh-CN"/>
        </w:rPr>
        <w:t>政府投资</w:t>
      </w:r>
      <w:r>
        <w:rPr>
          <w:rFonts w:hint="eastAsia" w:ascii="仿宋_GB2312" w:hAnsi="仿宋" w:cs="仿宋"/>
        </w:rPr>
        <w:t>。</w:t>
      </w:r>
    </w:p>
    <w:p>
      <w:pPr>
        <w:snapToGrid w:val="0"/>
        <w:spacing w:line="550" w:lineRule="exact"/>
        <w:ind w:firstLine="633" w:firstLineChars="198"/>
        <w:textAlignment w:val="baseline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二、评审依据</w:t>
      </w:r>
    </w:p>
    <w:p>
      <w:pPr>
        <w:snapToGrid w:val="0"/>
        <w:spacing w:line="550" w:lineRule="exact"/>
        <w:ind w:firstLine="640" w:firstLineChars="200"/>
        <w:textAlignment w:val="baseline"/>
        <w:rPr>
          <w:rFonts w:ascii="仿宋_GB2312" w:hAnsi="仿宋" w:cs="仿宋"/>
        </w:rPr>
      </w:pPr>
      <w:r>
        <w:rPr>
          <w:rFonts w:hint="eastAsia" w:ascii="仿宋_GB2312" w:hAnsi="仿宋" w:cs="仿宋"/>
        </w:rPr>
        <w:t>1. 财政部《财政投资项目评审操作规程（试行）》（财办建〔2002〕619号）；</w:t>
      </w:r>
    </w:p>
    <w:p>
      <w:pPr>
        <w:snapToGrid w:val="0"/>
        <w:spacing w:line="550" w:lineRule="exact"/>
        <w:ind w:firstLine="640" w:firstLineChars="200"/>
        <w:textAlignment w:val="baseline"/>
        <w:rPr>
          <w:rFonts w:ascii="仿宋_GB2312" w:hAnsi="仿宋" w:cs="仿宋"/>
        </w:rPr>
      </w:pPr>
      <w:r>
        <w:rPr>
          <w:rFonts w:hint="eastAsia" w:ascii="仿宋_GB2312" w:hAnsi="仿宋" w:cs="仿宋"/>
        </w:rPr>
        <w:t xml:space="preserve">2. </w:t>
      </w:r>
      <w:r>
        <w:rPr>
          <w:rFonts w:hint="eastAsia" w:ascii="仿宋_GB2312" w:hAnsi="仿宋" w:cs="仿宋"/>
          <w:lang w:val="en-US" w:eastAsia="zh-CN"/>
        </w:rPr>
        <w:t>常德市第三中学体艺馆活动场木地板</w:t>
      </w:r>
      <w:r>
        <w:rPr>
          <w:rFonts w:hint="eastAsia" w:ascii="仿宋_GB2312" w:hAnsi="仿宋" w:cs="仿宋"/>
        </w:rPr>
        <w:t>工程施工图、预算书等相关技术文件；</w:t>
      </w:r>
    </w:p>
    <w:p>
      <w:pPr>
        <w:snapToGrid w:val="0"/>
        <w:spacing w:line="550" w:lineRule="exact"/>
        <w:ind w:firstLine="640" w:firstLineChars="200"/>
        <w:textAlignment w:val="baseline"/>
        <w:rPr>
          <w:rFonts w:ascii="仿宋_GB2312" w:hAnsi="仿宋" w:cs="仿宋"/>
        </w:rPr>
      </w:pPr>
      <w:r>
        <w:rPr>
          <w:rFonts w:hint="eastAsia" w:ascii="仿宋_GB2312" w:hAnsi="仿宋" w:cs="仿宋"/>
        </w:rPr>
        <w:t>3. 湖南省住建厅《关于印发〈湖南省建设工程计价办法〉及〈湖南省建设工程消耗量标准〉的通知》（湘建价〔2014〕113号）;</w:t>
      </w:r>
    </w:p>
    <w:p>
      <w:pPr>
        <w:snapToGrid w:val="0"/>
        <w:spacing w:line="550" w:lineRule="exact"/>
        <w:ind w:firstLine="640" w:firstLineChars="200"/>
        <w:textAlignment w:val="baseline"/>
        <w:rPr>
          <w:rFonts w:ascii="仿宋_GB2312" w:hAnsi="仿宋" w:cs="仿宋"/>
        </w:rPr>
      </w:pPr>
      <w:r>
        <w:rPr>
          <w:rFonts w:hint="eastAsia" w:ascii="仿宋_GB2312" w:hAnsi="仿宋" w:cs="仿宋"/>
        </w:rPr>
        <w:t>4. 湖南省住建厅《关于发布2017年湖南省建设工程人工工资单价的通知》（湘建价〔2017〕165号）;</w:t>
      </w:r>
    </w:p>
    <w:p>
      <w:pPr>
        <w:snapToGrid w:val="0"/>
        <w:spacing w:line="550" w:lineRule="exact"/>
        <w:ind w:firstLine="640" w:firstLineChars="200"/>
        <w:textAlignment w:val="baseline"/>
        <w:rPr>
          <w:rFonts w:ascii="仿宋_GB2312" w:hAnsi="仿宋" w:cs="仿宋"/>
        </w:rPr>
      </w:pPr>
      <w:r>
        <w:rPr>
          <w:rFonts w:hint="eastAsia" w:ascii="仿宋_GB2312" w:hAnsi="仿宋" w:cs="仿宋"/>
        </w:rPr>
        <w:t>5. 湖南省建设工程造价管理总站《关于印发2014版&lt;湖南省建设工程计价办法&gt;及&lt;湖南省建设工程消耗量标准&gt;解释汇编的通知》(湘建价建〔2015〕48号);</w:t>
      </w:r>
    </w:p>
    <w:p>
      <w:pPr>
        <w:snapToGrid w:val="0"/>
        <w:spacing w:line="550" w:lineRule="exact"/>
        <w:ind w:firstLine="640" w:firstLineChars="200"/>
        <w:textAlignment w:val="baseline"/>
        <w:rPr>
          <w:rFonts w:ascii="仿宋_GB2312" w:hAnsi="仿宋" w:cs="仿宋"/>
        </w:rPr>
      </w:pPr>
      <w:r>
        <w:rPr>
          <w:rFonts w:hint="eastAsia" w:ascii="仿宋_GB2312" w:hAnsi="仿宋" w:cs="仿宋"/>
        </w:rPr>
        <w:t>6. 湖南省住建厅《关于印发〈关于增值税条件下计费程序和计费标准的规定〉及〈关于增值税条件下材料价格发布与使用的规定〉的通知》（ 湘建价〔2016〕72号）；</w:t>
      </w:r>
    </w:p>
    <w:p>
      <w:pPr>
        <w:snapToGrid w:val="0"/>
        <w:spacing w:line="550" w:lineRule="exact"/>
        <w:ind w:firstLine="640" w:firstLineChars="200"/>
        <w:textAlignment w:val="baseline"/>
        <w:rPr>
          <w:rFonts w:ascii="仿宋_GB2312" w:hAnsi="仿宋" w:cs="仿宋"/>
        </w:rPr>
      </w:pPr>
      <w:r>
        <w:rPr>
          <w:rFonts w:hint="eastAsia" w:ascii="仿宋_GB2312" w:hAnsi="仿宋" w:cs="仿宋"/>
        </w:rPr>
        <w:t>7. 湖南省住建厅《关于调整补充增值税条件下建设工程计价依据的通知》（湘建价〔2016〕160号）；</w:t>
      </w:r>
    </w:p>
    <w:p>
      <w:pPr>
        <w:snapToGrid w:val="0"/>
        <w:spacing w:line="550" w:lineRule="exact"/>
        <w:ind w:firstLine="640" w:firstLineChars="200"/>
        <w:textAlignment w:val="baseline"/>
        <w:rPr>
          <w:rFonts w:ascii="仿宋_GB2312" w:hAnsi="仿宋" w:cs="仿宋"/>
        </w:rPr>
      </w:pPr>
      <w:r>
        <w:rPr>
          <w:rFonts w:hint="eastAsia" w:ascii="仿宋_GB2312" w:hAnsi="仿宋" w:cs="仿宋"/>
        </w:rPr>
        <w:t xml:space="preserve">8. </w:t>
      </w:r>
      <w:r>
        <w:rPr>
          <w:rFonts w:hint="eastAsia" w:ascii="仿宋_GB2312" w:hAnsi="仿宋"/>
        </w:rPr>
        <w:t>湖南省住建厅《关于取消建筑行业劳保基金与增加社会保险费有关事项的通知》（湘建价〔2016〕134号）；</w:t>
      </w:r>
    </w:p>
    <w:p>
      <w:pPr>
        <w:snapToGrid w:val="0"/>
        <w:spacing w:line="550" w:lineRule="exact"/>
        <w:ind w:firstLine="640" w:firstLineChars="200"/>
        <w:textAlignment w:val="baseline"/>
        <w:rPr>
          <w:rFonts w:ascii="仿宋_GB2312" w:hAnsi="仿宋" w:cs="仿宋"/>
        </w:rPr>
      </w:pPr>
      <w:r>
        <w:rPr>
          <w:rFonts w:hint="eastAsia" w:ascii="仿宋_GB2312" w:hAnsi="仿宋" w:cs="仿宋"/>
        </w:rPr>
        <w:t>9. 湖南省住建厅《关于调整建设工程销项税额税率和材料综合税率计费标准的通知》（湘建价〔2018〕101号）；</w:t>
      </w:r>
    </w:p>
    <w:p>
      <w:pPr>
        <w:snapToGrid w:val="0"/>
        <w:spacing w:line="550" w:lineRule="exact"/>
        <w:ind w:firstLine="640" w:firstLineChars="200"/>
        <w:textAlignment w:val="baseline"/>
        <w:rPr>
          <w:rFonts w:ascii="仿宋_GB2312" w:hAnsi="仿宋" w:cs="仿宋"/>
        </w:rPr>
      </w:pPr>
      <w:r>
        <w:rPr>
          <w:rFonts w:hint="eastAsia" w:ascii="仿宋_GB2312" w:hAnsi="仿宋" w:cs="仿宋"/>
        </w:rPr>
        <w:t>10. 常德市城市管理和行政执法局、常德市公安局、常德市住房和城乡建设局、常德市交通运输局《关于开展市城区建筑垃圾运输秩序专项整治的通告》（常城管通〔2015〕4号）；</w:t>
      </w:r>
    </w:p>
    <w:p>
      <w:pPr>
        <w:snapToGrid w:val="0"/>
        <w:spacing w:line="550" w:lineRule="exact"/>
        <w:ind w:firstLine="640" w:firstLineChars="200"/>
        <w:textAlignment w:val="baseline"/>
        <w:rPr>
          <w:rFonts w:ascii="仿宋_GB2312" w:hAnsi="仿宋" w:cs="仿宋"/>
        </w:rPr>
      </w:pPr>
      <w:r>
        <w:rPr>
          <w:rFonts w:hint="eastAsia" w:ascii="仿宋_GB2312" w:hAnsi="仿宋" w:cs="仿宋"/>
        </w:rPr>
        <w:t>11. 常德市建设工程造价管理站《关于发布我市新型智能型环保车运输指导价的通知》(常建价〔2016〕6号)；</w:t>
      </w:r>
    </w:p>
    <w:p>
      <w:pPr>
        <w:snapToGrid w:val="0"/>
        <w:spacing w:line="550" w:lineRule="exact"/>
        <w:ind w:firstLine="640" w:firstLineChars="200"/>
        <w:textAlignment w:val="baseline"/>
        <w:rPr>
          <w:rFonts w:ascii="仿宋_GB2312" w:hAnsi="仿宋" w:cs="仿宋"/>
        </w:rPr>
      </w:pPr>
      <w:r>
        <w:rPr>
          <w:rFonts w:hint="eastAsia" w:ascii="仿宋_GB2312" w:hAnsi="仿宋" w:cs="仿宋"/>
        </w:rPr>
        <w:t>12. 常德市建设工程造价管理站《关于发布2018年第</w:t>
      </w:r>
      <w:r>
        <w:rPr>
          <w:rFonts w:hint="eastAsia" w:ascii="仿宋_GB2312" w:hAnsi="仿宋" w:cs="仿宋"/>
          <w:lang w:val="en-US" w:eastAsia="zh-CN"/>
        </w:rPr>
        <w:t>六</w:t>
      </w:r>
      <w:r>
        <w:rPr>
          <w:rFonts w:hint="eastAsia" w:ascii="仿宋_GB2312" w:hAnsi="仿宋" w:cs="仿宋"/>
        </w:rPr>
        <w:t>期建设工程材料价格的通知》(常建价〔2018〕</w:t>
      </w:r>
      <w:r>
        <w:rPr>
          <w:rFonts w:hint="eastAsia" w:ascii="仿宋_GB2312" w:hAnsi="仿宋" w:cs="仿宋"/>
          <w:lang w:val="en-US" w:eastAsia="zh-CN"/>
        </w:rPr>
        <w:t>11</w:t>
      </w:r>
      <w:r>
        <w:rPr>
          <w:rFonts w:hint="eastAsia" w:ascii="仿宋_GB2312" w:hAnsi="仿宋" w:cs="仿宋"/>
        </w:rPr>
        <w:t>号)及市场询价;</w:t>
      </w:r>
    </w:p>
    <w:p>
      <w:pPr>
        <w:snapToGrid w:val="0"/>
        <w:spacing w:line="550" w:lineRule="exact"/>
        <w:ind w:firstLine="640" w:firstLineChars="200"/>
        <w:textAlignment w:val="baseline"/>
        <w:rPr>
          <w:rFonts w:ascii="仿宋_GB2312" w:hAnsi="仿宋" w:cs="仿宋"/>
        </w:rPr>
      </w:pPr>
      <w:r>
        <w:rPr>
          <w:rFonts w:hint="eastAsia" w:ascii="仿宋_GB2312" w:hAnsi="仿宋" w:cs="仿宋"/>
        </w:rPr>
        <w:t>1</w:t>
      </w:r>
      <w:r>
        <w:rPr>
          <w:rFonts w:hint="eastAsia" w:ascii="仿宋_GB2312" w:hAnsi="仿宋" w:cs="仿宋"/>
          <w:lang w:val="en-US" w:eastAsia="zh-CN"/>
        </w:rPr>
        <w:t>3</w:t>
      </w:r>
      <w:r>
        <w:rPr>
          <w:rFonts w:hint="eastAsia" w:ascii="仿宋_GB2312" w:hAnsi="仿宋" w:cs="仿宋"/>
        </w:rPr>
        <w:t>. 有关的标准图集和设计、施工规范；</w:t>
      </w:r>
    </w:p>
    <w:p>
      <w:pPr>
        <w:snapToGrid w:val="0"/>
        <w:spacing w:line="550" w:lineRule="exact"/>
        <w:ind w:firstLine="640" w:firstLineChars="200"/>
        <w:textAlignment w:val="baseline"/>
        <w:rPr>
          <w:rFonts w:ascii="仿宋_GB2312" w:hAnsi="仿宋" w:cs="仿宋"/>
        </w:rPr>
      </w:pPr>
      <w:r>
        <w:rPr>
          <w:rFonts w:hint="eastAsia" w:ascii="仿宋_GB2312" w:hAnsi="仿宋" w:cs="仿宋"/>
        </w:rPr>
        <w:t>1</w:t>
      </w:r>
      <w:r>
        <w:rPr>
          <w:rFonts w:hint="eastAsia" w:ascii="仿宋_GB2312" w:hAnsi="仿宋" w:cs="仿宋"/>
          <w:lang w:val="en-US" w:eastAsia="zh-CN"/>
        </w:rPr>
        <w:t>4</w:t>
      </w:r>
      <w:r>
        <w:rPr>
          <w:rFonts w:hint="eastAsia" w:ascii="仿宋_GB2312" w:hAnsi="仿宋" w:cs="仿宋"/>
        </w:rPr>
        <w:t>. 现场踏勘了解情况。</w:t>
      </w:r>
    </w:p>
    <w:p>
      <w:pPr>
        <w:snapToGrid w:val="0"/>
        <w:spacing w:line="550" w:lineRule="exact"/>
        <w:ind w:firstLine="640" w:firstLineChars="200"/>
        <w:textAlignment w:val="baseline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三、评审范围</w:t>
      </w:r>
    </w:p>
    <w:p>
      <w:pPr>
        <w:snapToGrid w:val="0"/>
        <w:spacing w:line="550" w:lineRule="exact"/>
        <w:ind w:firstLine="640" w:firstLineChars="200"/>
        <w:textAlignment w:val="baseline"/>
        <w:rPr>
          <w:rFonts w:ascii="仿宋_GB2312" w:hAnsi="仿宋" w:cs="仿宋"/>
        </w:rPr>
      </w:pPr>
      <w:r>
        <w:rPr>
          <w:rFonts w:hint="eastAsia" w:ascii="仿宋_GB2312" w:hAnsi="仿宋" w:cs="仿宋"/>
          <w:lang w:val="en-US" w:eastAsia="zh-CN"/>
        </w:rPr>
        <w:t>常德市第三中学体艺馆活动场木地板</w:t>
      </w:r>
      <w:r>
        <w:rPr>
          <w:rFonts w:hint="eastAsia" w:ascii="仿宋_GB2312" w:hAnsi="仿宋" w:cs="仿宋"/>
        </w:rPr>
        <w:t>工程费用和</w:t>
      </w:r>
      <w:r>
        <w:rPr>
          <w:rFonts w:hint="eastAsia" w:ascii="仿宋_GB2312" w:hAnsi="仿宋" w:cs="仿宋"/>
          <w:lang w:val="en-US" w:eastAsia="zh-CN"/>
        </w:rPr>
        <w:t>造价咨询</w:t>
      </w:r>
      <w:r>
        <w:rPr>
          <w:rFonts w:hint="eastAsia" w:ascii="仿宋_GB2312" w:hAnsi="仿宋" w:cs="仿宋"/>
        </w:rPr>
        <w:t>费。</w:t>
      </w:r>
    </w:p>
    <w:p>
      <w:pPr>
        <w:snapToGrid w:val="0"/>
        <w:spacing w:line="550" w:lineRule="exact"/>
        <w:ind w:firstLine="640" w:firstLineChars="200"/>
        <w:textAlignment w:val="baseline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四、评审程序</w:t>
      </w:r>
    </w:p>
    <w:p>
      <w:pPr>
        <w:snapToGrid w:val="0"/>
        <w:spacing w:line="550" w:lineRule="exact"/>
        <w:ind w:firstLine="640" w:firstLineChars="200"/>
        <w:textAlignment w:val="baseline"/>
        <w:rPr>
          <w:rFonts w:ascii="仿宋_GB2312" w:hAnsi="仿宋" w:cs="仿宋"/>
        </w:rPr>
      </w:pPr>
      <w:r>
        <w:rPr>
          <w:rFonts w:hint="eastAsia" w:ascii="仿宋_GB2312" w:hAnsi="仿宋" w:cs="仿宋"/>
        </w:rPr>
        <w:t>1. 成立评审小组，熟悉资料，制定评审方案；</w:t>
      </w:r>
    </w:p>
    <w:p>
      <w:pPr>
        <w:snapToGrid w:val="0"/>
        <w:spacing w:line="550" w:lineRule="exact"/>
        <w:ind w:firstLine="640" w:firstLineChars="200"/>
        <w:textAlignment w:val="baseline"/>
        <w:rPr>
          <w:rFonts w:ascii="仿宋_GB2312" w:hAnsi="仿宋" w:cs="仿宋"/>
        </w:rPr>
      </w:pPr>
      <w:r>
        <w:rPr>
          <w:rFonts w:hint="eastAsia" w:ascii="仿宋_GB2312" w:hAnsi="仿宋" w:cs="仿宋"/>
        </w:rPr>
        <w:t>2. 现场踏勘；</w:t>
      </w:r>
    </w:p>
    <w:p>
      <w:pPr>
        <w:snapToGrid w:val="0"/>
        <w:spacing w:line="550" w:lineRule="exact"/>
        <w:ind w:firstLine="640" w:firstLineChars="200"/>
        <w:textAlignment w:val="baseline"/>
        <w:rPr>
          <w:rFonts w:ascii="仿宋_GB2312" w:hAnsi="仿宋" w:cs="仿宋"/>
        </w:rPr>
      </w:pPr>
      <w:r>
        <w:rPr>
          <w:rFonts w:hint="eastAsia" w:ascii="仿宋_GB2312" w:hAnsi="仿宋" w:cs="仿宋"/>
        </w:rPr>
        <w:t>3. 审查、取证、计量、分析、汇总，形成初步评审结论；</w:t>
      </w:r>
    </w:p>
    <w:p>
      <w:pPr>
        <w:snapToGrid w:val="0"/>
        <w:spacing w:line="550" w:lineRule="exact"/>
        <w:ind w:firstLine="640" w:firstLineChars="200"/>
        <w:textAlignment w:val="baseline"/>
        <w:rPr>
          <w:rFonts w:ascii="仿宋_GB2312" w:hAnsi="仿宋" w:cs="仿宋"/>
        </w:rPr>
      </w:pPr>
      <w:r>
        <w:rPr>
          <w:rFonts w:hint="eastAsia" w:ascii="仿宋_GB2312" w:hAnsi="仿宋" w:cs="仿宋"/>
        </w:rPr>
        <w:t>4. 将评审资料及评审结果与</w:t>
      </w:r>
      <w:r>
        <w:rPr>
          <w:rFonts w:hint="eastAsia" w:ascii="仿宋_GB2312" w:hAnsi="仿宋" w:cs="仿宋"/>
          <w:lang w:val="en-US" w:eastAsia="zh-CN"/>
        </w:rPr>
        <w:t>常德市第三中学</w:t>
      </w:r>
      <w:r>
        <w:rPr>
          <w:rFonts w:hint="eastAsia" w:ascii="仿宋_GB2312" w:hAnsi="仿宋" w:cs="仿宋"/>
        </w:rPr>
        <w:t>对账，形成评审结论，由其签字盖章认可；</w:t>
      </w:r>
    </w:p>
    <w:p>
      <w:pPr>
        <w:snapToGrid w:val="0"/>
        <w:spacing w:line="550" w:lineRule="exact"/>
        <w:ind w:firstLine="640" w:firstLineChars="200"/>
        <w:textAlignment w:val="baseline"/>
        <w:rPr>
          <w:rFonts w:ascii="仿宋_GB2312" w:hAnsi="仿宋" w:cs="仿宋"/>
        </w:rPr>
      </w:pPr>
      <w:r>
        <w:rPr>
          <w:rFonts w:hint="eastAsia" w:ascii="仿宋_GB2312" w:hAnsi="仿宋" w:cs="仿宋"/>
        </w:rPr>
        <w:t>5. 整理评审工作底稿等资料并归档，出具评审报告。</w:t>
      </w:r>
    </w:p>
    <w:p>
      <w:pPr>
        <w:snapToGrid w:val="0"/>
        <w:spacing w:line="550" w:lineRule="exact"/>
        <w:ind w:firstLine="640" w:firstLineChars="200"/>
        <w:textAlignment w:val="baseline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五、评审中发现的主要问题与审核情况</w:t>
      </w:r>
    </w:p>
    <w:p>
      <w:pPr>
        <w:snapToGrid w:val="0"/>
        <w:spacing w:line="550" w:lineRule="exact"/>
        <w:ind w:firstLine="640" w:firstLineChars="200"/>
        <w:textAlignment w:val="baseline"/>
        <w:rPr>
          <w:rFonts w:ascii="仿宋_GB2312"/>
        </w:rPr>
      </w:pPr>
      <w:r>
        <w:rPr>
          <w:rFonts w:hint="eastAsia" w:ascii="仿宋_GB2312"/>
        </w:rPr>
        <w:t xml:space="preserve">1. </w:t>
      </w:r>
      <w:r>
        <w:rPr>
          <w:rFonts w:hint="eastAsia" w:ascii="仿宋_GB2312"/>
          <w:lang w:val="en-US" w:eastAsia="zh-CN"/>
        </w:rPr>
        <w:t>砂浆找平子目高套</w:t>
      </w:r>
      <w:r>
        <w:rPr>
          <w:rFonts w:hint="eastAsia" w:ascii="仿宋_GB2312"/>
        </w:rPr>
        <w:t>，审减</w:t>
      </w:r>
      <w:r>
        <w:rPr>
          <w:rFonts w:hint="eastAsia" w:ascii="仿宋_GB2312"/>
          <w:lang w:val="en-US" w:eastAsia="zh-CN"/>
        </w:rPr>
        <w:t>1.29</w:t>
      </w:r>
      <w:r>
        <w:rPr>
          <w:rFonts w:hint="eastAsia" w:ascii="仿宋_GB2312"/>
        </w:rPr>
        <w:t>万元；</w:t>
      </w:r>
    </w:p>
    <w:p>
      <w:pPr>
        <w:snapToGrid w:val="0"/>
        <w:spacing w:line="550" w:lineRule="exact"/>
        <w:ind w:firstLine="640" w:firstLineChars="200"/>
        <w:textAlignment w:val="baseline"/>
        <w:rPr>
          <w:rFonts w:ascii="仿宋_GB2312"/>
        </w:rPr>
      </w:pPr>
      <w:r>
        <w:rPr>
          <w:rFonts w:hint="eastAsia" w:ascii="仿宋_GB2312" w:hAnsi="黑体"/>
        </w:rPr>
        <w:t xml:space="preserve">2. </w:t>
      </w:r>
      <w:r>
        <w:rPr>
          <w:rFonts w:hint="eastAsia" w:ascii="仿宋_GB2312" w:hAnsi="黑体"/>
          <w:lang w:val="en-US" w:eastAsia="zh-CN"/>
        </w:rPr>
        <w:t>篮球场、主席台活动</w:t>
      </w:r>
      <w:r>
        <w:rPr>
          <w:rFonts w:hint="eastAsia" w:ascii="仿宋_GB2312"/>
          <w:lang w:val="en-US" w:eastAsia="zh-CN"/>
        </w:rPr>
        <w:t>枫木实木地板子目套项有误且材料报送价格偏高</w:t>
      </w:r>
      <w:r>
        <w:rPr>
          <w:rFonts w:hint="eastAsia" w:ascii="仿宋_GB2312"/>
        </w:rPr>
        <w:t>，审减</w:t>
      </w:r>
      <w:r>
        <w:rPr>
          <w:rFonts w:hint="eastAsia" w:ascii="仿宋_GB2312"/>
          <w:lang w:val="en-US" w:eastAsia="zh-CN"/>
        </w:rPr>
        <w:t>46.86</w:t>
      </w:r>
      <w:r>
        <w:rPr>
          <w:rFonts w:hint="eastAsia" w:ascii="仿宋_GB2312"/>
        </w:rPr>
        <w:t>万元；</w:t>
      </w:r>
    </w:p>
    <w:p>
      <w:pPr>
        <w:snapToGrid w:val="0"/>
        <w:spacing w:line="550" w:lineRule="exact"/>
        <w:ind w:firstLine="640" w:firstLineChars="200"/>
        <w:textAlignment w:val="baseline"/>
        <w:rPr>
          <w:rFonts w:hint="eastAsia" w:ascii="仿宋_GB2312"/>
        </w:rPr>
      </w:pPr>
      <w:r>
        <w:rPr>
          <w:rFonts w:hint="eastAsia" w:ascii="仿宋_GB2312" w:hAnsi="黑体"/>
        </w:rPr>
        <w:t xml:space="preserve">3. </w:t>
      </w:r>
      <w:r>
        <w:rPr>
          <w:rFonts w:hint="eastAsia" w:ascii="仿宋_GB2312" w:hAnsi="黑体"/>
          <w:lang w:val="en-US" w:eastAsia="zh-CN"/>
        </w:rPr>
        <w:t>踢脚线</w:t>
      </w:r>
      <w:r>
        <w:rPr>
          <w:rFonts w:hint="eastAsia" w:ascii="仿宋_GB2312"/>
          <w:lang w:val="en-US" w:eastAsia="zh-CN"/>
        </w:rPr>
        <w:t>子目套项有误</w:t>
      </w:r>
      <w:r>
        <w:rPr>
          <w:rFonts w:hint="eastAsia" w:ascii="仿宋_GB2312"/>
        </w:rPr>
        <w:t>，审减0.</w:t>
      </w:r>
      <w:r>
        <w:rPr>
          <w:rFonts w:hint="eastAsia" w:ascii="仿宋_GB2312"/>
          <w:lang w:val="en-US" w:eastAsia="zh-CN"/>
        </w:rPr>
        <w:t>1</w:t>
      </w:r>
      <w:r>
        <w:rPr>
          <w:rFonts w:hint="eastAsia" w:ascii="仿宋_GB2312"/>
        </w:rPr>
        <w:t>万元；</w:t>
      </w:r>
    </w:p>
    <w:p>
      <w:pPr>
        <w:autoSpaceDE w:val="0"/>
        <w:autoSpaceDN w:val="0"/>
        <w:adjustRightInd w:val="0"/>
        <w:snapToGrid w:val="0"/>
        <w:spacing w:line="560" w:lineRule="exact"/>
        <w:ind w:firstLine="617" w:firstLineChars="193"/>
        <w:jc w:val="left"/>
        <w:rPr>
          <w:rFonts w:hint="eastAsia" w:ascii="仿宋_GB2312" w:hAnsi="仿宋" w:eastAsia="仿宋_GB2312" w:cs="仿宋"/>
          <w:szCs w:val="32"/>
          <w:lang w:eastAsia="zh-CN"/>
        </w:rPr>
      </w:pPr>
      <w:r>
        <w:rPr>
          <w:rFonts w:hint="eastAsia" w:ascii="仿宋_GB2312"/>
          <w:lang w:val="en-US" w:eastAsia="zh-CN"/>
        </w:rPr>
        <w:t xml:space="preserve">4. </w:t>
      </w:r>
      <w:r>
        <w:rPr>
          <w:rFonts w:hint="eastAsia" w:ascii="仿宋_GB2312" w:hAnsi="仿宋" w:cs="仿宋"/>
          <w:szCs w:val="32"/>
        </w:rPr>
        <w:t>造价咨询费</w:t>
      </w:r>
      <w:r>
        <w:rPr>
          <w:rFonts w:hint="eastAsia" w:ascii="仿宋_GB2312" w:hAnsi="仿宋" w:cs="仿宋"/>
          <w:szCs w:val="32"/>
          <w:lang w:val="en-US" w:eastAsia="zh-CN"/>
        </w:rPr>
        <w:t>按常财办发</w:t>
      </w:r>
      <w:r>
        <w:rPr>
          <w:rFonts w:hint="eastAsia" w:ascii="仿宋_GB2312" w:hAnsi="仿宋" w:cs="仿宋"/>
        </w:rPr>
        <w:t>〔201</w:t>
      </w:r>
      <w:r>
        <w:rPr>
          <w:rFonts w:hint="eastAsia" w:ascii="仿宋_GB2312" w:hAnsi="仿宋" w:cs="仿宋"/>
          <w:lang w:val="en-US" w:eastAsia="zh-CN"/>
        </w:rPr>
        <w:t>7</w:t>
      </w:r>
      <w:r>
        <w:rPr>
          <w:rFonts w:hint="eastAsia" w:ascii="仿宋_GB2312" w:hAnsi="仿宋" w:cs="仿宋"/>
        </w:rPr>
        <w:t>〕</w:t>
      </w:r>
      <w:r>
        <w:rPr>
          <w:rFonts w:hint="eastAsia" w:ascii="仿宋_GB2312" w:hAnsi="仿宋" w:cs="仿宋"/>
          <w:lang w:val="en-US" w:eastAsia="zh-CN"/>
        </w:rPr>
        <w:t>68</w:t>
      </w:r>
      <w:r>
        <w:rPr>
          <w:rFonts w:hint="eastAsia" w:ascii="仿宋_GB2312" w:hAnsi="仿宋" w:cs="仿宋"/>
        </w:rPr>
        <w:t>号</w:t>
      </w:r>
      <w:r>
        <w:rPr>
          <w:rFonts w:hint="eastAsia" w:ascii="仿宋_GB2312" w:hAnsi="仿宋" w:cs="仿宋"/>
          <w:lang w:val="en-US" w:eastAsia="zh-CN"/>
        </w:rPr>
        <w:t>文</w:t>
      </w:r>
      <w:r>
        <w:rPr>
          <w:rFonts w:hint="eastAsia" w:ascii="仿宋_GB2312" w:hAnsi="仿宋" w:cs="仿宋"/>
          <w:szCs w:val="32"/>
          <w:lang w:val="en-US" w:eastAsia="zh-CN"/>
        </w:rPr>
        <w:t>计算、审减率超文件规定同比例扣减，审减0.49</w:t>
      </w:r>
      <w:r>
        <w:rPr>
          <w:rFonts w:hint="eastAsia" w:ascii="仿宋_GB2312" w:hAnsi="仿宋" w:cs="仿宋"/>
          <w:szCs w:val="32"/>
        </w:rPr>
        <w:t>万元</w:t>
      </w:r>
      <w:r>
        <w:rPr>
          <w:rFonts w:hint="eastAsia" w:ascii="仿宋_GB2312" w:hAnsi="仿宋" w:cs="仿宋"/>
          <w:szCs w:val="32"/>
          <w:lang w:eastAsia="zh-CN"/>
        </w:rPr>
        <w:t>。</w:t>
      </w:r>
    </w:p>
    <w:p>
      <w:pPr>
        <w:snapToGrid w:val="0"/>
        <w:spacing w:line="550" w:lineRule="exact"/>
        <w:ind w:firstLine="640" w:firstLineChars="200"/>
        <w:textAlignment w:val="baseline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六、评审结论</w:t>
      </w:r>
    </w:p>
    <w:p>
      <w:pPr>
        <w:spacing w:line="550" w:lineRule="exact"/>
        <w:ind w:firstLine="627" w:firstLineChars="196"/>
        <w:rPr>
          <w:rFonts w:ascii="仿宋_GB2312" w:hAnsi="黑体"/>
        </w:rPr>
      </w:pPr>
      <w:r>
        <w:rPr>
          <w:rFonts w:hint="eastAsia" w:ascii="仿宋_GB2312" w:hAnsi="仿宋" w:cs="仿宋"/>
        </w:rPr>
        <w:t>项目送审金额</w:t>
      </w:r>
      <w:r>
        <w:rPr>
          <w:rFonts w:hint="eastAsia" w:ascii="仿宋_GB2312" w:hAnsi="仿宋" w:cs="仿宋"/>
          <w:lang w:val="en-US" w:eastAsia="zh-CN"/>
        </w:rPr>
        <w:t>1425158</w:t>
      </w:r>
      <w:r>
        <w:rPr>
          <w:rFonts w:hint="eastAsia" w:ascii="仿宋_GB2312" w:hAnsi="仿宋" w:cs="仿宋"/>
        </w:rPr>
        <w:t>元，审定金额</w:t>
      </w:r>
      <w:r>
        <w:rPr>
          <w:rFonts w:hint="eastAsia" w:ascii="仿宋_GB2312" w:hAnsi="仿宋" w:cs="仿宋"/>
          <w:lang w:val="en-US" w:eastAsia="zh-CN"/>
        </w:rPr>
        <w:t>931642</w:t>
      </w:r>
      <w:r>
        <w:rPr>
          <w:rFonts w:hint="eastAsia" w:ascii="仿宋_GB2312" w:hAnsi="仿宋" w:cs="仿宋"/>
        </w:rPr>
        <w:t>元，审减金额</w:t>
      </w:r>
      <w:r>
        <w:rPr>
          <w:rFonts w:hint="eastAsia" w:ascii="仿宋_GB2312" w:hAnsi="仿宋" w:cs="仿宋"/>
          <w:lang w:val="en-US" w:eastAsia="zh-CN"/>
        </w:rPr>
        <w:t>493516</w:t>
      </w:r>
      <w:r>
        <w:rPr>
          <w:rFonts w:hint="eastAsia" w:ascii="仿宋_GB2312" w:hAnsi="仿宋" w:cs="仿宋"/>
        </w:rPr>
        <w:t>元，审减率</w:t>
      </w:r>
      <w:r>
        <w:rPr>
          <w:rFonts w:hint="eastAsia" w:ascii="仿宋_GB2312" w:hAnsi="仿宋" w:cs="仿宋"/>
          <w:lang w:val="en-US" w:eastAsia="zh-CN"/>
        </w:rPr>
        <w:t>34.63</w:t>
      </w:r>
      <w:r>
        <w:rPr>
          <w:rFonts w:hint="eastAsia" w:ascii="仿宋_GB2312" w:hAnsi="仿宋" w:cs="仿宋"/>
        </w:rPr>
        <w:t>%(详见附表）。</w:t>
      </w:r>
    </w:p>
    <w:p>
      <w:pPr>
        <w:spacing w:line="550" w:lineRule="exact"/>
        <w:ind w:right="800"/>
        <w:textAlignment w:val="baseline"/>
        <w:rPr>
          <w:rFonts w:hint="eastAsia" w:ascii="仿宋_GB2312" w:hAnsi="仿宋" w:cs="仿宋"/>
          <w:lang w:val="en-US" w:eastAsia="zh-CN"/>
        </w:rPr>
      </w:pPr>
    </w:p>
    <w:p>
      <w:pPr>
        <w:spacing w:line="550" w:lineRule="exact"/>
        <w:ind w:right="800"/>
        <w:textAlignment w:val="baseline"/>
        <w:rPr>
          <w:rFonts w:hint="eastAsia" w:ascii="仿宋_GB2312" w:hAnsi="仿宋" w:cs="仿宋"/>
          <w:lang w:val="en-US" w:eastAsia="zh-CN"/>
        </w:rPr>
      </w:pPr>
      <w:bookmarkStart w:id="1" w:name="_GoBack"/>
      <w:bookmarkEnd w:id="1"/>
    </w:p>
    <w:p>
      <w:pPr>
        <w:rPr>
          <w:rFonts w:ascii="仿宋_GB2312" w:hAnsi="仿宋" w:cs="仿宋"/>
        </w:rPr>
      </w:pPr>
      <w:r>
        <w:rPr>
          <w:rFonts w:hint="eastAsia" w:ascii="仿宋_GB2312" w:hAnsi="仿宋" w:cs="仿宋"/>
        </w:rPr>
        <w:t>附表</w:t>
      </w:r>
    </w:p>
    <w:tbl>
      <w:tblPr>
        <w:tblStyle w:val="6"/>
        <w:tblW w:w="892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5"/>
        <w:gridCol w:w="1586"/>
        <w:gridCol w:w="1709"/>
        <w:gridCol w:w="1708"/>
        <w:gridCol w:w="1709"/>
        <w:gridCol w:w="155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bookmarkStart w:id="0" w:name="RANGE!A1:F6"/>
            <w:r>
              <w:rPr>
                <w:rFonts w:hint="eastAsia" w:asciiTheme="majorEastAsia" w:hAnsiTheme="majorEastAsia" w:eastAsiaTheme="majorEastAsia" w:cstheme="majorEastAsia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常德市第三中学体艺馆活动场木地板工程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预算评审汇总表</w:t>
            </w:r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报送金额</w:t>
            </w:r>
          </w:p>
        </w:tc>
        <w:tc>
          <w:tcPr>
            <w:tcW w:w="1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审定金额</w:t>
            </w:r>
          </w:p>
        </w:tc>
        <w:tc>
          <w:tcPr>
            <w:tcW w:w="1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审减金额</w:t>
            </w:r>
          </w:p>
        </w:tc>
        <w:tc>
          <w:tcPr>
            <w:tcW w:w="15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</w:t>
            </w:r>
            <w:r>
              <w:rPr>
                <w:rFonts w:hint="eastAsia" w:ascii="仿宋_GB2312" w:hAnsi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6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工程费</w:t>
            </w:r>
          </w:p>
        </w:tc>
        <w:tc>
          <w:tcPr>
            <w:tcW w:w="1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1417241 </w:t>
            </w:r>
          </w:p>
        </w:tc>
        <w:tc>
          <w:tcPr>
            <w:tcW w:w="1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928660 </w:t>
            </w:r>
          </w:p>
        </w:tc>
        <w:tc>
          <w:tcPr>
            <w:tcW w:w="1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488581 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34.47%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6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造价咨询费</w:t>
            </w:r>
          </w:p>
        </w:tc>
        <w:tc>
          <w:tcPr>
            <w:tcW w:w="1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7917 </w:t>
            </w:r>
          </w:p>
        </w:tc>
        <w:tc>
          <w:tcPr>
            <w:tcW w:w="1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2982 </w:t>
            </w:r>
          </w:p>
        </w:tc>
        <w:tc>
          <w:tcPr>
            <w:tcW w:w="1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4935 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审减率超规定同比例扣减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6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  <w:tc>
          <w:tcPr>
            <w:tcW w:w="1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</w:t>
            </w:r>
            <w:r>
              <w:rPr>
                <w:rFonts w:hint="eastAsia" w:ascii="仿宋_GB2312" w:hAnsi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</w:t>
            </w:r>
          </w:p>
        </w:tc>
        <w:tc>
          <w:tcPr>
            <w:tcW w:w="1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1425158 </w:t>
            </w:r>
          </w:p>
        </w:tc>
        <w:tc>
          <w:tcPr>
            <w:tcW w:w="1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931642 </w:t>
            </w:r>
          </w:p>
        </w:tc>
        <w:tc>
          <w:tcPr>
            <w:tcW w:w="1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493516 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34.63%</w:t>
            </w:r>
          </w:p>
        </w:tc>
      </w:tr>
    </w:tbl>
    <w:p>
      <w:pPr>
        <w:rPr>
          <w:sz w:val="24"/>
          <w:szCs w:val="24"/>
        </w:rPr>
      </w:pPr>
    </w:p>
    <w:sectPr>
      <w:footerReference r:id="rId3" w:type="default"/>
      <w:pgSz w:w="11906" w:h="16838"/>
      <w:pgMar w:top="2154" w:right="1531" w:bottom="1440" w:left="1531" w:header="851" w:footer="992" w:gutter="0"/>
      <w:pgNumType w:fmt="numberInDash"/>
      <w:cols w:space="0" w:num="1"/>
      <w:rtlGutter w:val="0"/>
      <w:docGrid w:type="lines" w:linePitch="44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eastAsia" w:ascii="仿宋_GB2312" w:hAnsi="仿宋_GB2312" w:eastAsia="仿宋_GB2312" w:cs="仿宋_GB2312"/>
                    <w:sz w:val="32"/>
                    <w:szCs w:val="32"/>
                    <w:lang w:eastAsia="zh-CN"/>
                  </w:rPr>
                </w:pPr>
                <w:r>
                  <w:rPr>
                    <w:rFonts w:hint="eastAsia" w:ascii="仿宋_GB2312" w:hAnsi="仿宋_GB2312" w:eastAsia="仿宋_GB2312" w:cs="仿宋_GB2312"/>
                    <w:sz w:val="32"/>
                    <w:szCs w:val="32"/>
                    <w:lang w:eastAsia="zh-CN"/>
                  </w:rPr>
                  <w:fldChar w:fldCharType="begin"/>
                </w:r>
                <w:r>
                  <w:rPr>
                    <w:rFonts w:hint="eastAsia" w:ascii="仿宋_GB2312" w:hAnsi="仿宋_GB2312" w:eastAsia="仿宋_GB2312" w:cs="仿宋_GB2312"/>
                    <w:sz w:val="32"/>
                    <w:szCs w:val="32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仿宋_GB2312" w:hAnsi="仿宋_GB2312" w:eastAsia="仿宋_GB2312" w:cs="仿宋_GB2312"/>
                    <w:sz w:val="32"/>
                    <w:szCs w:val="32"/>
                    <w:lang w:eastAsia="zh-CN"/>
                  </w:rPr>
                  <w:fldChar w:fldCharType="separate"/>
                </w:r>
                <w:r>
                  <w:rPr>
                    <w:rFonts w:hint="eastAsia" w:ascii="仿宋_GB2312" w:hAnsi="仿宋_GB2312" w:eastAsia="仿宋_GB2312" w:cs="仿宋_GB2312"/>
                    <w:sz w:val="32"/>
                    <w:szCs w:val="32"/>
                    <w:lang w:eastAsia="zh-CN"/>
                  </w:rPr>
                  <w:t>1</w:t>
                </w:r>
                <w:r>
                  <w:rPr>
                    <w:rFonts w:hint="eastAsia" w:ascii="仿宋_GB2312" w:hAnsi="仿宋_GB2312" w:eastAsia="仿宋_GB2312" w:cs="仿宋_GB2312"/>
                    <w:sz w:val="32"/>
                    <w:szCs w:val="32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220"/>
  <w:displayHorizontalDrawingGridEvery w:val="1"/>
  <w:displayVerticalDrawingGridEvery w:val="2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176D4"/>
    <w:rsid w:val="00116F97"/>
    <w:rsid w:val="00336156"/>
    <w:rsid w:val="004176D4"/>
    <w:rsid w:val="0048489E"/>
    <w:rsid w:val="007015FF"/>
    <w:rsid w:val="00957D33"/>
    <w:rsid w:val="00A5789B"/>
    <w:rsid w:val="00BC43CE"/>
    <w:rsid w:val="00BE5F59"/>
    <w:rsid w:val="00D722A4"/>
    <w:rsid w:val="00E433BC"/>
    <w:rsid w:val="05055779"/>
    <w:rsid w:val="06EC2CAA"/>
    <w:rsid w:val="097F2187"/>
    <w:rsid w:val="1CE8039A"/>
    <w:rsid w:val="1E2A4A6F"/>
    <w:rsid w:val="20B2058D"/>
    <w:rsid w:val="38F52675"/>
    <w:rsid w:val="3EA6211E"/>
    <w:rsid w:val="40863191"/>
    <w:rsid w:val="438E6AAD"/>
    <w:rsid w:val="4514508D"/>
    <w:rsid w:val="49BE6923"/>
    <w:rsid w:val="527F3CAD"/>
    <w:rsid w:val="54216544"/>
    <w:rsid w:val="59DA453A"/>
    <w:rsid w:val="606537A4"/>
    <w:rsid w:val="6B1610F2"/>
    <w:rsid w:val="6D494F52"/>
    <w:rsid w:val="73DA1E51"/>
    <w:rsid w:val="75CC68FD"/>
    <w:rsid w:val="7C26322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unhideWhenUsed/>
    <w:qFormat/>
    <w:uiPriority w:val="99"/>
    <w:pPr>
      <w:jc w:val="center"/>
    </w:pPr>
    <w:rPr>
      <w:rFonts w:eastAsia="方正大标宋简体"/>
      <w:sz w:val="42"/>
      <w:szCs w:val="42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 Char"/>
    <w:basedOn w:val="7"/>
    <w:link w:val="2"/>
    <w:qFormat/>
    <w:uiPriority w:val="99"/>
    <w:rPr>
      <w:rFonts w:ascii="Times New Roman" w:hAnsi="Times New Roman" w:eastAsia="方正大标宋简体" w:cs="Times New Roman"/>
      <w:sz w:val="42"/>
      <w:szCs w:val="42"/>
    </w:rPr>
  </w:style>
  <w:style w:type="character" w:customStyle="1" w:styleId="9">
    <w:name w:val="页眉 Char"/>
    <w:basedOn w:val="7"/>
    <w:link w:val="5"/>
    <w:semiHidden/>
    <w:qFormat/>
    <w:uiPriority w:val="99"/>
    <w:rPr>
      <w:rFonts w:eastAsia="仿宋_GB2312"/>
      <w:kern w:val="2"/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rFonts w:eastAsia="仿宋_GB2312"/>
      <w:kern w:val="2"/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299</Words>
  <Characters>1709</Characters>
  <Lines>14</Lines>
  <Paragraphs>4</Paragraphs>
  <TotalTime>23</TotalTime>
  <ScaleCrop>false</ScaleCrop>
  <LinksUpToDate>false</LinksUpToDate>
  <CharactersWithSpaces>2004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2018-07-23T08:41:00Z</dcterms:created>
  <dc:creator>uy</dc:creator>
  <cp:lastModifiedBy>Administrator</cp:lastModifiedBy>
  <cp:lastPrinted>2019-03-04T08:41:00Z</cp:lastPrinted>
  <dcterms:modified xsi:type="dcterms:W3CDTF">2019-04-01T02:34:28Z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